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rPr>
        <w:t>8bis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31</w:t>
      </w:r>
      <w:r>
        <w:rPr>
          <w:rFonts w:hint="eastAsia" w:ascii="Arial" w:hAnsi="Arial" w:cs="Arial"/>
          <w:b/>
          <w:bCs/>
          <w:lang w:val="en-US" w:eastAsia="zh-CN"/>
        </w:rPr>
        <w:t>5173</w:t>
      </w:r>
    </w:p>
    <w:p>
      <w:pPr>
        <w:tabs>
          <w:tab w:val="left" w:pos="3106"/>
          <w:tab w:val="center" w:pos="4536"/>
          <w:tab w:val="right" w:pos="9072"/>
        </w:tabs>
        <w:jc w:val="both"/>
        <w:rPr>
          <w:rFonts w:ascii="Arial" w:hAnsi="Arial" w:cs="Arial"/>
          <w:b/>
          <w:bCs/>
        </w:rPr>
      </w:pPr>
      <w:r>
        <w:rPr>
          <w:rFonts w:hint="eastAsia" w:ascii="Arial" w:hAnsi="Arial" w:eastAsia="宋体" w:cs="Arial"/>
          <w:b/>
        </w:rPr>
        <w:t>Xiamen, China, October 09 - October 13, 2023</w:t>
      </w:r>
    </w:p>
    <w:p>
      <w:pPr>
        <w:tabs>
          <w:tab w:val="left" w:pos="1985"/>
        </w:tabs>
        <w:rPr>
          <w:b/>
          <w:sz w:val="22"/>
        </w:rPr>
      </w:pPr>
      <w:bookmarkStart w:id="8" w:name="_GoBack"/>
      <w:bookmarkEnd w:id="8"/>
    </w:p>
    <w:p>
      <w:pPr>
        <w:tabs>
          <w:tab w:val="left" w:pos="1765"/>
          <w:tab w:val="center" w:pos="4557"/>
        </w:tabs>
        <w:rPr>
          <w:b/>
          <w:sz w:val="22"/>
        </w:rPr>
      </w:pPr>
      <w:r>
        <w:rPr>
          <w:b/>
          <w:sz w:val="22"/>
        </w:rPr>
        <w:t>Agenda Item:</w:t>
      </w:r>
      <w:r>
        <w:rPr>
          <w:b/>
          <w:sz w:val="22"/>
        </w:rPr>
        <w:tab/>
      </w:r>
      <w:r>
        <w:rPr>
          <w:rFonts w:hint="eastAsia"/>
          <w:sz w:val="22"/>
        </w:rPr>
        <w:t>5</w:t>
      </w:r>
      <w:r>
        <w:rPr>
          <w:sz w:val="22"/>
        </w:rPr>
        <w:t>.2</w:t>
      </w:r>
      <w:r>
        <w:rPr>
          <w:rFonts w:hint="eastAsia"/>
          <w:sz w:val="22"/>
        </w:rPr>
        <w:t>6</w:t>
      </w:r>
      <w:r>
        <w:rPr>
          <w:sz w:val="22"/>
        </w:rPr>
        <w:t>.</w:t>
      </w:r>
      <w:r>
        <w:rPr>
          <w:rFonts w:hint="eastAsia"/>
          <w:sz w:val="22"/>
        </w:rPr>
        <w:t>6.3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rPr>
        <w:t>Discussion on RRM core requirement for NR NTN mobility enhancements</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sz w:val="20"/>
          <w:szCs w:val="20"/>
        </w:rPr>
        <w:t>In RAN4#10</w:t>
      </w:r>
      <w:r>
        <w:rPr>
          <w:rFonts w:hint="eastAsia"/>
          <w:sz w:val="20"/>
          <w:szCs w:val="20"/>
        </w:rPr>
        <w:t>8</w:t>
      </w:r>
      <w:r>
        <w:rPr>
          <w:sz w:val="20"/>
          <w:szCs w:val="20"/>
        </w:rPr>
        <w:t xml:space="preserve"> meeting, RAN4 discussed the RRM core requirements for NR NTN enhancement, the WF has been approved in [1]. </w:t>
      </w:r>
    </w:p>
    <w:p>
      <w:pPr>
        <w:tabs>
          <w:tab w:val="left" w:pos="1134"/>
        </w:tabs>
        <w:spacing w:after="120" w:line="240" w:lineRule="exact"/>
        <w:rPr>
          <w:sz w:val="20"/>
          <w:szCs w:val="20"/>
        </w:rPr>
      </w:pPr>
      <w:r>
        <w:rPr>
          <w:sz w:val="20"/>
          <w:szCs w:val="20"/>
        </w:rPr>
        <w:t xml:space="preserve">In this contribution, we further discuss the RRM impact of NR NTN </w:t>
      </w:r>
      <w:r>
        <w:rPr>
          <w:rFonts w:hint="eastAsia"/>
          <w:sz w:val="20"/>
          <w:szCs w:val="20"/>
        </w:rPr>
        <w:t xml:space="preserve">mobility </w:t>
      </w:r>
      <w:r>
        <w:rPr>
          <w:sz w:val="20"/>
          <w:szCs w:val="20"/>
        </w:rPr>
        <w:t>enhancement based on the progress of RAN2</w:t>
      </w:r>
      <w:r>
        <w:rPr>
          <w:rFonts w:hint="eastAsia"/>
          <w:sz w:val="20"/>
          <w:szCs w:val="20"/>
        </w:rPr>
        <w:t xml:space="preserve"> and RAN4</w:t>
      </w:r>
      <w:r>
        <w:rPr>
          <w:sz w:val="20"/>
          <w:szCs w:val="20"/>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GB"/>
        </w:rPr>
        <w:t>Idle/Inactive mode mobility enhancements</w:t>
      </w:r>
    </w:p>
    <w:p>
      <w:pPr>
        <w:outlineLvl w:val="2"/>
        <w:rPr>
          <w:b/>
          <w:i/>
          <w:iCs/>
          <w:sz w:val="20"/>
          <w:szCs w:val="20"/>
          <w:u w:val="single"/>
          <w:lang w:eastAsia="ko-KR"/>
        </w:rPr>
      </w:pPr>
      <w:r>
        <w:rPr>
          <w:b/>
          <w:i/>
          <w:iCs/>
          <w:sz w:val="20"/>
          <w:szCs w:val="20"/>
          <w:u w:val="single"/>
          <w:lang w:eastAsia="ko-KR"/>
        </w:rPr>
        <w:t>Issue 3-1: TN-to-NTN Cell reselection</w:t>
      </w:r>
    </w:p>
    <w:p>
      <w:pPr>
        <w:spacing w:line="252" w:lineRule="auto"/>
        <w:rPr>
          <w:b/>
          <w:bCs/>
          <w:i/>
          <w:iCs/>
          <w:sz w:val="20"/>
          <w:szCs w:val="20"/>
          <w:lang w:eastAsia="ja-JP"/>
        </w:rPr>
      </w:pPr>
      <w:r>
        <w:rPr>
          <w:b/>
          <w:bCs/>
          <w:i/>
          <w:iCs/>
          <w:sz w:val="20"/>
          <w:szCs w:val="20"/>
          <w:lang w:eastAsia="ja-JP"/>
        </w:rPr>
        <w:t>Agreement:</w:t>
      </w:r>
    </w:p>
    <w:p>
      <w:pPr>
        <w:pStyle w:val="75"/>
        <w:numPr>
          <w:ilvl w:val="0"/>
          <w:numId w:val="4"/>
        </w:numPr>
        <w:ind w:left="644" w:firstLineChars="0"/>
        <w:rPr>
          <w:i/>
          <w:iCs/>
          <w:sz w:val="20"/>
          <w:szCs w:val="20"/>
        </w:rPr>
      </w:pPr>
      <w:r>
        <w:rPr>
          <w:i/>
          <w:iCs/>
          <w:sz w:val="20"/>
          <w:szCs w:val="20"/>
        </w:rPr>
        <w:t>If whether/how to UE obtain TN coverage area information from TN cell is confirmed, the  following can be further discussed:</w:t>
      </w:r>
    </w:p>
    <w:p>
      <w:pPr>
        <w:pStyle w:val="75"/>
        <w:numPr>
          <w:ilvl w:val="1"/>
          <w:numId w:val="4"/>
        </w:numPr>
        <w:ind w:left="1364" w:firstLineChars="0"/>
        <w:contextualSpacing/>
        <w:rPr>
          <w:i/>
          <w:iCs/>
          <w:sz w:val="20"/>
          <w:szCs w:val="20"/>
        </w:rPr>
      </w:pPr>
      <w:r>
        <w:rPr>
          <w:i/>
          <w:iCs/>
          <w:sz w:val="20"/>
          <w:szCs w:val="20"/>
        </w:rPr>
        <w:t>Whether or not to define RRM requirements for TN-to-NTN cell reselection.</w:t>
      </w:r>
    </w:p>
    <w:p>
      <w:pPr>
        <w:pStyle w:val="75"/>
        <w:numPr>
          <w:ilvl w:val="1"/>
          <w:numId w:val="4"/>
        </w:numPr>
        <w:ind w:left="1364" w:firstLineChars="0"/>
        <w:contextualSpacing/>
        <w:rPr>
          <w:i/>
          <w:iCs/>
          <w:sz w:val="20"/>
          <w:szCs w:val="20"/>
        </w:rPr>
      </w:pPr>
      <w:r>
        <w:rPr>
          <w:i/>
          <w:iCs/>
          <w:sz w:val="20"/>
          <w:szCs w:val="20"/>
        </w:rPr>
        <w:t>Centre and radius of TN coverage can be used for measurement initiation for cell reselection, e.g.</w:t>
      </w:r>
    </w:p>
    <w:p>
      <w:pPr>
        <w:pStyle w:val="75"/>
        <w:numPr>
          <w:ilvl w:val="2"/>
          <w:numId w:val="4"/>
        </w:numPr>
        <w:ind w:left="2084" w:firstLineChars="0"/>
        <w:contextualSpacing/>
        <w:rPr>
          <w:i/>
          <w:iCs/>
          <w:sz w:val="20"/>
          <w:szCs w:val="20"/>
        </w:rPr>
      </w:pPr>
      <w:r>
        <w:rPr>
          <w:i/>
          <w:iCs/>
          <w:sz w:val="20"/>
          <w:szCs w:val="20"/>
        </w:rPr>
        <w:t>If Srxlev &gt; SnonIntraSearchP and Squal &gt; SnonIntraSearchQ, and the distance between UE and TN coverage area centre is smaller than radius, then the UE may not perform measurement of NTN intra- and/or inter-frequency.</w:t>
      </w:r>
    </w:p>
    <w:p>
      <w:pPr>
        <w:jc w:val="both"/>
        <w:rPr>
          <w:sz w:val="20"/>
          <w:szCs w:val="20"/>
        </w:rPr>
      </w:pPr>
      <w:r>
        <w:rPr>
          <w:rFonts w:hint="eastAsia"/>
          <w:sz w:val="20"/>
          <w:szCs w:val="20"/>
        </w:rPr>
        <w:t xml:space="preserve">we propose to deprioritize the </w:t>
      </w:r>
      <w:r>
        <w:rPr>
          <w:rFonts w:hint="eastAsia"/>
          <w:sz w:val="20"/>
          <w:szCs w:val="20"/>
          <w:lang w:val="en-GB"/>
        </w:rPr>
        <w:t xml:space="preserve">TN-to-NTN </w:t>
      </w:r>
      <w:r>
        <w:rPr>
          <w:rFonts w:hint="eastAsia"/>
          <w:sz w:val="20"/>
          <w:szCs w:val="20"/>
        </w:rPr>
        <w:t xml:space="preserve">cell </w:t>
      </w:r>
      <w:r>
        <w:rPr>
          <w:rFonts w:hint="eastAsia"/>
          <w:sz w:val="20"/>
          <w:szCs w:val="20"/>
          <w:lang w:val="en-GB"/>
        </w:rPr>
        <w:t>re</w:t>
      </w:r>
      <w:r>
        <w:rPr>
          <w:rFonts w:hint="eastAsia"/>
          <w:sz w:val="20"/>
          <w:szCs w:val="20"/>
        </w:rPr>
        <w:t>-</w:t>
      </w:r>
      <w:r>
        <w:rPr>
          <w:rFonts w:hint="eastAsia"/>
          <w:sz w:val="20"/>
          <w:szCs w:val="20"/>
          <w:lang w:val="en-GB"/>
        </w:rPr>
        <w:t>selection</w:t>
      </w:r>
      <w:r>
        <w:rPr>
          <w:rFonts w:hint="eastAsia"/>
          <w:sz w:val="20"/>
          <w:szCs w:val="20"/>
        </w:rPr>
        <w:t xml:space="preserve"> and focus on the NTN-to-TN cell re-selection first, since RAN2 hasn</w:t>
      </w:r>
      <w:r>
        <w:rPr>
          <w:sz w:val="20"/>
          <w:szCs w:val="20"/>
        </w:rPr>
        <w:t>’</w:t>
      </w:r>
      <w:r>
        <w:rPr>
          <w:rFonts w:hint="eastAsia"/>
          <w:sz w:val="20"/>
          <w:szCs w:val="20"/>
        </w:rPr>
        <w:t xml:space="preserve">t discussed any mechanism for </w:t>
      </w:r>
      <w:r>
        <w:rPr>
          <w:rFonts w:hint="eastAsia"/>
          <w:sz w:val="20"/>
          <w:szCs w:val="20"/>
          <w:lang w:val="en-GB"/>
        </w:rPr>
        <w:t>TN-to-NTN</w:t>
      </w:r>
      <w:r>
        <w:rPr>
          <w:rFonts w:hint="eastAsia"/>
          <w:sz w:val="20"/>
          <w:szCs w:val="20"/>
        </w:rPr>
        <w:t xml:space="preserve"> scenario, e.g. how UE obtain the TN coverage area information from TN cell.</w:t>
      </w:r>
    </w:p>
    <w:p>
      <w:pPr>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rPr>
        <w:t>1</w:t>
      </w:r>
      <w:r>
        <w:rPr>
          <w:rFonts w:eastAsia="等线"/>
          <w:b/>
          <w:bCs/>
          <w:i/>
          <w:iCs/>
          <w:sz w:val="20"/>
          <w:szCs w:val="20"/>
        </w:rPr>
        <w:t xml:space="preserve">: </w:t>
      </w:r>
      <w:r>
        <w:rPr>
          <w:rFonts w:hint="eastAsia" w:eastAsia="等线"/>
          <w:b/>
          <w:bCs/>
          <w:i/>
          <w:iCs/>
          <w:sz w:val="20"/>
          <w:szCs w:val="20"/>
        </w:rPr>
        <w:t>Deprioritize the TN-to-NTN cell re-selection scenario.</w:t>
      </w:r>
    </w:p>
    <w:p>
      <w:pPr>
        <w:rPr>
          <w:rFonts w:eastAsia="等线"/>
          <w:b/>
          <w:bCs/>
          <w:i/>
          <w:iCs/>
          <w:sz w:val="20"/>
          <w:szCs w:val="20"/>
        </w:rPr>
      </w:pPr>
    </w:p>
    <w:p>
      <w:pPr>
        <w:outlineLvl w:val="2"/>
        <w:rPr>
          <w:b/>
          <w:i/>
          <w:iCs/>
          <w:sz w:val="20"/>
          <w:szCs w:val="20"/>
          <w:u w:val="single"/>
          <w:lang w:eastAsia="ko-KR"/>
        </w:rPr>
      </w:pPr>
      <w:r>
        <w:rPr>
          <w:b/>
          <w:i/>
          <w:iCs/>
          <w:sz w:val="20"/>
          <w:szCs w:val="20"/>
          <w:u w:val="single"/>
          <w:lang w:eastAsia="ko-KR"/>
        </w:rPr>
        <w:t>Issue 3-2: NTN-to-TN Cell reselection</w:t>
      </w:r>
    </w:p>
    <w:p>
      <w:pPr>
        <w:spacing w:line="252" w:lineRule="auto"/>
        <w:rPr>
          <w:b/>
          <w:bCs/>
          <w:i/>
          <w:iCs/>
          <w:sz w:val="20"/>
          <w:szCs w:val="20"/>
          <w:lang w:eastAsia="ja-JP"/>
        </w:rPr>
      </w:pPr>
      <w:r>
        <w:rPr>
          <w:b/>
          <w:bCs/>
          <w:i/>
          <w:iCs/>
          <w:sz w:val="20"/>
          <w:szCs w:val="20"/>
          <w:lang w:eastAsia="ja-JP"/>
        </w:rPr>
        <w:t>FFS:</w:t>
      </w:r>
    </w:p>
    <w:p>
      <w:pPr>
        <w:pStyle w:val="75"/>
        <w:numPr>
          <w:ilvl w:val="0"/>
          <w:numId w:val="4"/>
        </w:numPr>
        <w:ind w:left="644" w:firstLineChars="0"/>
        <w:rPr>
          <w:i/>
          <w:iCs/>
          <w:sz w:val="20"/>
          <w:szCs w:val="20"/>
        </w:rPr>
      </w:pPr>
      <w:r>
        <w:rPr>
          <w:i/>
          <w:iCs/>
          <w:sz w:val="20"/>
          <w:szCs w:val="20"/>
        </w:rPr>
        <w:t>For NTN-to-TN cell reselection,</w:t>
      </w:r>
    </w:p>
    <w:p>
      <w:pPr>
        <w:pStyle w:val="75"/>
        <w:numPr>
          <w:ilvl w:val="1"/>
          <w:numId w:val="4"/>
        </w:numPr>
        <w:ind w:left="1364" w:firstLineChars="0"/>
        <w:rPr>
          <w:i/>
          <w:iCs/>
          <w:sz w:val="20"/>
          <w:szCs w:val="20"/>
        </w:rPr>
      </w:pPr>
      <w:r>
        <w:rPr>
          <w:i/>
          <w:iCs/>
          <w:sz w:val="20"/>
          <w:szCs w:val="20"/>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pPr>
        <w:pStyle w:val="75"/>
        <w:numPr>
          <w:ilvl w:val="1"/>
          <w:numId w:val="4"/>
        </w:numPr>
        <w:ind w:left="1364" w:firstLineChars="0"/>
        <w:contextualSpacing/>
        <w:rPr>
          <w:i/>
          <w:iCs/>
          <w:sz w:val="20"/>
          <w:szCs w:val="20"/>
        </w:rPr>
      </w:pPr>
      <w:r>
        <w:rPr>
          <w:i/>
          <w:iCs/>
          <w:sz w:val="20"/>
          <w:szCs w:val="20"/>
        </w:rPr>
        <w:t>Option B: A UE shall start (up to UE implementation) measurements on TN cell (frequency layer) before arriving in a TN cell range indicated by the TN cell information. After UE enters overlapped coverage by TN/NTN cell,</w:t>
      </w:r>
    </w:p>
    <w:p>
      <w:pPr>
        <w:pStyle w:val="75"/>
        <w:numPr>
          <w:ilvl w:val="2"/>
          <w:numId w:val="4"/>
        </w:numPr>
        <w:ind w:left="2084" w:firstLineChars="0"/>
        <w:contextualSpacing/>
        <w:rPr>
          <w:i/>
          <w:iCs/>
          <w:sz w:val="20"/>
          <w:szCs w:val="20"/>
        </w:rPr>
      </w:pPr>
      <w:r>
        <w:rPr>
          <w:i/>
          <w:iCs/>
          <w:sz w:val="20"/>
          <w:szCs w:val="20"/>
        </w:rPr>
        <w:t>If the UE doesn’t detect any TN cell or measures signal strength from any TN cell lower than a threshold and the measured signal strength of NTN cell that UE camps on meets S-criteria, the UE shall:</w:t>
      </w:r>
    </w:p>
    <w:p>
      <w:pPr>
        <w:pStyle w:val="75"/>
        <w:numPr>
          <w:ilvl w:val="3"/>
          <w:numId w:val="4"/>
        </w:numPr>
        <w:ind w:left="2804" w:firstLineChars="0"/>
        <w:contextualSpacing/>
        <w:rPr>
          <w:i/>
          <w:iCs/>
          <w:sz w:val="20"/>
          <w:szCs w:val="20"/>
        </w:rPr>
      </w:pPr>
      <w:r>
        <w:rPr>
          <w:i/>
          <w:iCs/>
          <w:sz w:val="20"/>
          <w:szCs w:val="20"/>
        </w:rPr>
        <w:t xml:space="preserve">Option B-1: skip measurements on TN cell for a time period before resuming measurements. </w:t>
      </w:r>
    </w:p>
    <w:p>
      <w:pPr>
        <w:pStyle w:val="75"/>
        <w:numPr>
          <w:ilvl w:val="3"/>
          <w:numId w:val="4"/>
        </w:numPr>
        <w:ind w:left="2804" w:firstLineChars="0"/>
        <w:contextualSpacing/>
        <w:rPr>
          <w:i/>
          <w:iCs/>
          <w:sz w:val="20"/>
          <w:szCs w:val="20"/>
        </w:rPr>
      </w:pPr>
      <w:r>
        <w:rPr>
          <w:i/>
          <w:iCs/>
          <w:sz w:val="20"/>
          <w:szCs w:val="20"/>
        </w:rPr>
        <w:t>Option B-2: relax measurements on TN cell until TN cell is detected and signal strength from any TN cell is higher than a threshold.</w:t>
      </w:r>
    </w:p>
    <w:p>
      <w:pPr>
        <w:pStyle w:val="75"/>
        <w:numPr>
          <w:ilvl w:val="2"/>
          <w:numId w:val="4"/>
        </w:numPr>
        <w:ind w:left="2084" w:firstLineChars="0"/>
        <w:contextualSpacing/>
        <w:rPr>
          <w:i/>
          <w:iCs/>
          <w:sz w:val="20"/>
          <w:szCs w:val="20"/>
        </w:rPr>
      </w:pPr>
      <w:r>
        <w:rPr>
          <w:i/>
          <w:iCs/>
          <w:sz w:val="20"/>
          <w:szCs w:val="20"/>
        </w:rPr>
        <w:t>Otherwise, UE shall keep normal measurements on the TN cell (frequency layer).</w:t>
      </w:r>
    </w:p>
    <w:p>
      <w:pPr>
        <w:pStyle w:val="75"/>
        <w:numPr>
          <w:ilvl w:val="1"/>
          <w:numId w:val="4"/>
        </w:numPr>
        <w:ind w:left="1364" w:firstLineChars="0"/>
        <w:contextualSpacing/>
        <w:rPr>
          <w:i/>
          <w:iCs/>
          <w:sz w:val="20"/>
          <w:szCs w:val="20"/>
        </w:rPr>
      </w:pPr>
      <w:r>
        <w:rPr>
          <w:i/>
          <w:iCs/>
          <w:sz w:val="20"/>
          <w:szCs w:val="20"/>
        </w:rPr>
        <w:t>Option C: TN coverage area centre and radius can be used for measurement initiation for cell reselection.</w:t>
      </w:r>
    </w:p>
    <w:p>
      <w:pPr>
        <w:pStyle w:val="75"/>
        <w:numPr>
          <w:ilvl w:val="2"/>
          <w:numId w:val="4"/>
        </w:numPr>
        <w:ind w:left="2084" w:firstLineChars="0"/>
        <w:contextualSpacing/>
        <w:rPr>
          <w:rFonts w:eastAsiaTheme="minorEastAsia"/>
          <w:i/>
          <w:iCs/>
          <w:sz w:val="20"/>
          <w:szCs w:val="20"/>
        </w:rPr>
      </w:pPr>
      <w:r>
        <w:rPr>
          <w:rFonts w:eastAsiaTheme="minorEastAsia"/>
          <w:i/>
          <w:iCs/>
          <w:sz w:val="20"/>
          <w:szCs w:val="20"/>
        </w:rPr>
        <w:t>Such as for intra-</w:t>
      </w:r>
      <w:r>
        <w:rPr>
          <w:i/>
          <w:iCs/>
          <w:sz w:val="20"/>
          <w:szCs w:val="20"/>
        </w:rPr>
        <w:t>frequency</w:t>
      </w:r>
      <w:r>
        <w:rPr>
          <w:rFonts w:eastAsiaTheme="minorEastAsia"/>
          <w:i/>
          <w:iCs/>
          <w:sz w:val="20"/>
          <w:szCs w:val="20"/>
        </w:rPr>
        <w:t xml:space="preserve"> cell reselection for earth fixed cell: in measurement time, the distance between UE location and NTN cell reference location is less than distanceThresh and the distance between TN coverage area centre and NTN cell reference location plus radius is less than distanceThresh. For inter-frequency cell reselection, apply the similar rule.</w:t>
      </w:r>
    </w:p>
    <w:p>
      <w:pPr>
        <w:pStyle w:val="75"/>
        <w:numPr>
          <w:ilvl w:val="2"/>
          <w:numId w:val="4"/>
        </w:numPr>
        <w:ind w:left="2084" w:firstLineChars="0"/>
        <w:contextualSpacing/>
        <w:rPr>
          <w:rFonts w:eastAsiaTheme="minorEastAsia"/>
          <w:i/>
          <w:iCs/>
          <w:sz w:val="20"/>
          <w:szCs w:val="20"/>
        </w:rPr>
      </w:pPr>
      <w:r>
        <w:rPr>
          <w:rFonts w:eastAsiaTheme="minorEastAsia"/>
          <w:i/>
          <w:iCs/>
          <w:sz w:val="20"/>
          <w:szCs w:val="20"/>
        </w:rPr>
        <w:t>For earth moving cell, the reference location should be updated with reference location with time reference.</w:t>
      </w:r>
    </w:p>
    <w:p>
      <w:pPr>
        <w:spacing w:line="252" w:lineRule="auto"/>
        <w:rPr>
          <w:b/>
          <w:bCs/>
          <w:i/>
          <w:iCs/>
          <w:sz w:val="20"/>
          <w:szCs w:val="20"/>
          <w:lang w:eastAsia="ja-JP"/>
        </w:rPr>
      </w:pPr>
      <w:r>
        <w:rPr>
          <w:b/>
          <w:bCs/>
          <w:i/>
          <w:iCs/>
          <w:sz w:val="20"/>
          <w:szCs w:val="20"/>
          <w:lang w:eastAsia="ja-JP"/>
        </w:rPr>
        <w:t>Agreement:</w:t>
      </w:r>
    </w:p>
    <w:p>
      <w:pPr>
        <w:pStyle w:val="75"/>
        <w:numPr>
          <w:ilvl w:val="0"/>
          <w:numId w:val="4"/>
        </w:numPr>
        <w:ind w:left="644" w:firstLineChars="0"/>
        <w:rPr>
          <w:i/>
          <w:iCs/>
          <w:sz w:val="20"/>
          <w:szCs w:val="20"/>
        </w:rPr>
      </w:pPr>
      <w:r>
        <w:rPr>
          <w:rFonts w:eastAsiaTheme="minorEastAsia"/>
          <w:i/>
          <w:iCs/>
          <w:sz w:val="20"/>
          <w:szCs w:val="20"/>
        </w:rPr>
        <w:t>Deprioritize the scenario where TN and NTN cells are in the same frequency in RRM requirements.</w:t>
      </w:r>
    </w:p>
    <w:p>
      <w:pPr>
        <w:spacing w:line="252" w:lineRule="auto"/>
        <w:rPr>
          <w:b/>
          <w:bCs/>
          <w:i/>
          <w:iCs/>
          <w:sz w:val="20"/>
          <w:szCs w:val="20"/>
          <w:lang w:eastAsia="ja-JP"/>
        </w:rPr>
      </w:pPr>
      <w:r>
        <w:rPr>
          <w:b/>
          <w:bCs/>
          <w:i/>
          <w:iCs/>
          <w:sz w:val="20"/>
          <w:szCs w:val="20"/>
          <w:lang w:eastAsia="ja-JP"/>
        </w:rPr>
        <w:t>FFS:</w:t>
      </w:r>
    </w:p>
    <w:p>
      <w:pPr>
        <w:pStyle w:val="75"/>
        <w:numPr>
          <w:ilvl w:val="0"/>
          <w:numId w:val="4"/>
        </w:numPr>
        <w:ind w:left="644" w:firstLineChars="0"/>
        <w:rPr>
          <w:i/>
          <w:iCs/>
          <w:sz w:val="20"/>
          <w:szCs w:val="20"/>
        </w:rPr>
      </w:pPr>
      <w:r>
        <w:rPr>
          <w:i/>
          <w:iCs/>
          <w:sz w:val="20"/>
          <w:szCs w:val="20"/>
        </w:rPr>
        <w:t>Consider shorter T</w:t>
      </w:r>
      <w:r>
        <w:rPr>
          <w:i/>
          <w:iCs/>
          <w:sz w:val="20"/>
          <w:szCs w:val="20"/>
          <w:vertAlign w:val="subscript"/>
        </w:rPr>
        <w:t>higher_priority_search</w:t>
      </w:r>
      <w:r>
        <w:rPr>
          <w:i/>
          <w:iCs/>
          <w:sz w:val="20"/>
          <w:szCs w:val="20"/>
        </w:rPr>
        <w:t xml:space="preserve"> for TN frequency layer when TN frequency is set to higher priority</w:t>
      </w:r>
    </w:p>
    <w:p>
      <w:pPr>
        <w:rPr>
          <w:rFonts w:eastAsia="等线"/>
          <w:b/>
          <w:bCs/>
          <w:i/>
          <w:iCs/>
          <w:sz w:val="20"/>
          <w:szCs w:val="20"/>
        </w:rPr>
      </w:pPr>
    </w:p>
    <w:p>
      <w:pPr>
        <w:jc w:val="both"/>
        <w:rPr>
          <w:sz w:val="20"/>
          <w:szCs w:val="20"/>
          <w:lang w:val="en-GB"/>
        </w:rPr>
      </w:pPr>
      <w:r>
        <w:rPr>
          <w:rFonts w:hint="eastAsia"/>
          <w:sz w:val="20"/>
          <w:szCs w:val="20"/>
        </w:rPr>
        <w:t>For NTN-to-TN cell re-selection, t</w:t>
      </w:r>
      <w:r>
        <w:rPr>
          <w:sz w:val="20"/>
          <w:szCs w:val="20"/>
          <w:lang w:val="en-GB"/>
        </w:rPr>
        <w:t>he mechanism designed by RAN2 is as follows:</w:t>
      </w:r>
    </w:p>
    <w:p>
      <w:pPr>
        <w:pStyle w:val="75"/>
        <w:numPr>
          <w:ilvl w:val="0"/>
          <w:numId w:val="5"/>
        </w:numPr>
        <w:spacing w:after="60"/>
        <w:ind w:firstLineChars="0"/>
        <w:jc w:val="both"/>
        <w:rPr>
          <w:i/>
          <w:iCs/>
          <w:sz w:val="20"/>
          <w:szCs w:val="20"/>
        </w:rPr>
      </w:pPr>
      <w:r>
        <w:rPr>
          <w:rFonts w:hint="eastAsia"/>
          <w:i/>
          <w:iCs/>
          <w:sz w:val="20"/>
          <w:szCs w:val="20"/>
        </w:rPr>
        <w:t>An RRC_IDLE/RRC_INACTIVE UE is not required to perform neighbour cell measurements for cell reselection for a TN frequency in the area, if configured, where there is no coverage of that frequency, regardless of the frequency priority</w:t>
      </w:r>
    </w:p>
    <w:p>
      <w:pPr>
        <w:pStyle w:val="75"/>
        <w:numPr>
          <w:ilvl w:val="0"/>
          <w:numId w:val="5"/>
        </w:numPr>
        <w:spacing w:after="60"/>
        <w:ind w:firstLineChars="0"/>
        <w:jc w:val="both"/>
        <w:rPr>
          <w:i/>
          <w:iCs/>
          <w:sz w:val="20"/>
          <w:szCs w:val="20"/>
        </w:rPr>
      </w:pPr>
      <w:r>
        <w:rPr>
          <w:i/>
          <w:iCs/>
          <w:sz w:val="20"/>
          <w:szCs w:val="20"/>
        </w:rPr>
        <w:t>For signaling the TN coverage, the corresponding geographical area information is provided by broadcast signalling by the network via a list of (possibly overlapping) areas where each area is defined using center location coordinates + radius</w:t>
      </w:r>
      <w:r>
        <w:rPr>
          <w:rFonts w:hint="eastAsia" w:eastAsia="宋体"/>
          <w:i/>
          <w:iCs/>
          <w:sz w:val="20"/>
          <w:szCs w:val="20"/>
        </w:rPr>
        <w:t>, r</w:t>
      </w:r>
      <w:r>
        <w:rPr>
          <w:rFonts w:hint="eastAsia"/>
          <w:i/>
          <w:iCs/>
          <w:sz w:val="20"/>
          <w:szCs w:val="20"/>
        </w:rPr>
        <w:t>euse the same format of Rel-17 referenceLocation and distanceThresh for signaling the TN coverage area centre and radius</w:t>
      </w:r>
      <w:r>
        <w:rPr>
          <w:rFonts w:hint="eastAsia" w:eastAsia="宋体"/>
          <w:i/>
          <w:iCs/>
          <w:sz w:val="20"/>
          <w:szCs w:val="20"/>
        </w:rPr>
        <w:t>.</w:t>
      </w:r>
    </w:p>
    <w:p>
      <w:pPr>
        <w:pStyle w:val="75"/>
        <w:spacing w:after="60"/>
        <w:ind w:firstLine="0" w:firstLineChars="0"/>
        <w:jc w:val="both"/>
        <w:rPr>
          <w:sz w:val="20"/>
          <w:szCs w:val="20"/>
        </w:rPr>
      </w:pPr>
      <w:r>
        <w:rPr>
          <w:rFonts w:hint="eastAsia"/>
          <w:sz w:val="20"/>
          <w:szCs w:val="20"/>
        </w:rPr>
        <w:t>The UE measurement behavior for NTN-to-TN cell reselection should be defined. RAN2</w:t>
      </w:r>
      <w:r>
        <w:rPr>
          <w:sz w:val="20"/>
          <w:szCs w:val="20"/>
        </w:rPr>
        <w:t>’</w:t>
      </w:r>
      <w:r>
        <w:rPr>
          <w:rFonts w:hint="eastAsia"/>
          <w:sz w:val="20"/>
          <w:szCs w:val="20"/>
        </w:rPr>
        <w:t xml:space="preserve">s agreement could be reused with minor update. </w:t>
      </w:r>
      <w:r>
        <w:rPr>
          <w:sz w:val="20"/>
          <w:szCs w:val="20"/>
        </w:rPr>
        <w:t>“</w:t>
      </w:r>
      <w:r>
        <w:rPr>
          <w:rFonts w:hint="eastAsia"/>
          <w:sz w:val="20"/>
          <w:szCs w:val="20"/>
        </w:rPr>
        <w:t>An RRC_IDLE/RRC_INACTIVE UE is not required to perform neighbour cell measurements for cell re-selection for a TN frequency in the area, if configured, where there is no coverage of that frequency based on the provide TN cell coverage information and UE GNSS position information, regardless of the frequency priority</w:t>
      </w:r>
      <w:r>
        <w:rPr>
          <w:sz w:val="20"/>
          <w:szCs w:val="20"/>
        </w:rPr>
        <w:t>”</w:t>
      </w:r>
    </w:p>
    <w:p>
      <w:pPr>
        <w:jc w:val="both"/>
        <w:rPr>
          <w:sz w:val="20"/>
          <w:szCs w:val="20"/>
        </w:rPr>
      </w:pPr>
      <w:r>
        <w:rPr>
          <w:rFonts w:hint="eastAsia"/>
          <w:sz w:val="20"/>
          <w:szCs w:val="20"/>
        </w:rPr>
        <w:t>Besides,</w:t>
      </w:r>
      <w:r>
        <w:rPr>
          <w:sz w:val="20"/>
          <w:szCs w:val="20"/>
          <w:lang w:val="en-GB"/>
        </w:rPr>
        <w:t xml:space="preserve"> we think the definition of K</w:t>
      </w:r>
      <w:r>
        <w:rPr>
          <w:sz w:val="20"/>
          <w:szCs w:val="20"/>
          <w:vertAlign w:val="subscript"/>
          <w:lang w:val="en-GB"/>
        </w:rPr>
        <w:t>carrier</w:t>
      </w:r>
      <w:r>
        <w:rPr>
          <w:sz w:val="20"/>
          <w:szCs w:val="20"/>
          <w:lang w:val="en-GB"/>
        </w:rPr>
        <w:t xml:space="preserve"> should be revised to capture the NTN-</w:t>
      </w:r>
      <w:r>
        <w:rPr>
          <w:rFonts w:hint="eastAsia"/>
          <w:sz w:val="20"/>
          <w:szCs w:val="20"/>
        </w:rPr>
        <w:t>to-</w:t>
      </w:r>
      <w:r>
        <w:rPr>
          <w:sz w:val="20"/>
          <w:szCs w:val="20"/>
          <w:lang w:val="en-GB"/>
        </w:rPr>
        <w:t xml:space="preserve">TN cell re-selection enhancement mechanism. </w:t>
      </w:r>
      <w:r>
        <w:rPr>
          <w:rFonts w:hint="eastAsia"/>
          <w:sz w:val="20"/>
          <w:szCs w:val="20"/>
        </w:rPr>
        <w:t>In the current spec, t</w:t>
      </w:r>
      <w:r>
        <w:rPr>
          <w:rFonts w:hint="eastAsia"/>
          <w:sz w:val="20"/>
          <w:szCs w:val="20"/>
          <w:lang w:val="en-GB"/>
        </w:rPr>
        <w:t>he parameter K</w:t>
      </w:r>
      <w:r>
        <w:rPr>
          <w:rFonts w:hint="eastAsia"/>
          <w:sz w:val="20"/>
          <w:szCs w:val="20"/>
          <w:vertAlign w:val="subscript"/>
          <w:lang w:val="en-GB"/>
        </w:rPr>
        <w:t>carrier</w:t>
      </w:r>
      <w:r>
        <w:rPr>
          <w:rFonts w:hint="eastAsia"/>
          <w:sz w:val="20"/>
          <w:szCs w:val="20"/>
          <w:lang w:val="en-GB"/>
        </w:rPr>
        <w:t xml:space="preserve"> is the number of NR inter-frequency carriers indicated by the serving cell.</w:t>
      </w:r>
      <w:r>
        <w:rPr>
          <w:rFonts w:hint="eastAsia"/>
          <w:sz w:val="20"/>
          <w:szCs w:val="20"/>
        </w:rPr>
        <w:t xml:space="preserve"> When considering the NTN-to-TN cell re-selection, the definition </w:t>
      </w:r>
      <w:r>
        <w:rPr>
          <w:sz w:val="20"/>
          <w:szCs w:val="20"/>
          <w:lang w:val="en-GB"/>
        </w:rPr>
        <w:t>of K</w:t>
      </w:r>
      <w:r>
        <w:rPr>
          <w:sz w:val="20"/>
          <w:szCs w:val="20"/>
          <w:vertAlign w:val="subscript"/>
          <w:lang w:val="en-GB"/>
        </w:rPr>
        <w:t>carrier</w:t>
      </w:r>
      <w:r>
        <w:rPr>
          <w:sz w:val="20"/>
          <w:szCs w:val="20"/>
          <w:lang w:val="en-GB"/>
        </w:rPr>
        <w:t xml:space="preserve"> should be revised to</w:t>
      </w:r>
      <w:r>
        <w:rPr>
          <w:rFonts w:hint="eastAsia"/>
          <w:sz w:val="20"/>
          <w:szCs w:val="20"/>
        </w:rPr>
        <w:t xml:space="preserve"> </w:t>
      </w:r>
      <w:r>
        <w:rPr>
          <w:sz w:val="20"/>
          <w:szCs w:val="20"/>
          <w:lang w:val="en-GB"/>
        </w:rPr>
        <w:t>the number of NR inter-frequency carriers indicated by the serving cell</w:t>
      </w:r>
      <w:r>
        <w:rPr>
          <w:rFonts w:hint="eastAsia"/>
          <w:sz w:val="20"/>
          <w:szCs w:val="20"/>
        </w:rPr>
        <w:t>,</w:t>
      </w:r>
      <w:r>
        <w:rPr>
          <w:rFonts w:hint="eastAsia"/>
          <w:sz w:val="20"/>
          <w:szCs w:val="20"/>
          <w:lang w:val="en-GB"/>
        </w:rPr>
        <w:t xml:space="preserve"> except for the </w:t>
      </w:r>
      <w:r>
        <w:rPr>
          <w:rFonts w:hint="eastAsia" w:eastAsia="Times New Roman"/>
          <w:sz w:val="20"/>
          <w:szCs w:val="20"/>
        </w:rPr>
        <w:t>TN only frequen</w:t>
      </w:r>
      <w:r>
        <w:rPr>
          <w:rFonts w:hint="eastAsia"/>
          <w:sz w:val="20"/>
          <w:szCs w:val="20"/>
        </w:rPr>
        <w:t xml:space="preserve">cy carrier </w:t>
      </w:r>
      <w:r>
        <w:rPr>
          <w:rFonts w:hint="eastAsia" w:eastAsia="Times New Roman"/>
          <w:sz w:val="20"/>
          <w:szCs w:val="20"/>
        </w:rPr>
        <w:t>where there is no coverage of that frequency</w:t>
      </w:r>
      <w:r>
        <w:rPr>
          <w:sz w:val="20"/>
          <w:szCs w:val="20"/>
          <w:lang w:val="en-GB"/>
        </w:rPr>
        <w:t xml:space="preserve"> based on the provide TN cell coverage information</w:t>
      </w:r>
      <w:r>
        <w:rPr>
          <w:rFonts w:hint="eastAsia"/>
          <w:sz w:val="20"/>
          <w:szCs w:val="20"/>
        </w:rPr>
        <w:t xml:space="preserve"> </w:t>
      </w:r>
      <w:r>
        <w:rPr>
          <w:rFonts w:hint="eastAsia" w:eastAsia="Times New Roman"/>
          <w:sz w:val="20"/>
          <w:szCs w:val="20"/>
        </w:rPr>
        <w:t>and UE GNSS position information</w:t>
      </w:r>
      <w:r>
        <w:rPr>
          <w:rFonts w:hint="eastAsia"/>
          <w:sz w:val="20"/>
          <w:szCs w:val="20"/>
        </w:rPr>
        <w:t>.</w:t>
      </w:r>
    </w:p>
    <w:p>
      <w:pPr>
        <w:spacing w:after="60"/>
        <w:jc w:val="both"/>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rPr>
        <w:t>2</w:t>
      </w:r>
      <w:r>
        <w:rPr>
          <w:b/>
          <w:bCs/>
          <w:i/>
          <w:iCs/>
          <w:sz w:val="20"/>
          <w:szCs w:val="20"/>
        </w:rPr>
        <w:t xml:space="preserve">: </w:t>
      </w:r>
      <w:r>
        <w:rPr>
          <w:rFonts w:hint="eastAsia"/>
          <w:b/>
          <w:bCs/>
          <w:i/>
          <w:iCs/>
          <w:sz w:val="20"/>
          <w:szCs w:val="20"/>
        </w:rPr>
        <w:t xml:space="preserve">The UE measurement behavior for NTN-to-TN should be defined. </w:t>
      </w:r>
      <w:r>
        <w:rPr>
          <w:rFonts w:hint="eastAsia" w:eastAsia="Times New Roman"/>
          <w:b/>
          <w:bCs/>
          <w:i/>
          <w:iCs/>
          <w:sz w:val="20"/>
          <w:szCs w:val="20"/>
        </w:rPr>
        <w:t>An RRC_IDLE/RRC_INACTIVE UE is not required to perform neighbour cell measurements for cell re-selection for a TN frequency in the area, if configured, where there is no coverage of that frequency based on the provide TN cell coverage information and UE GNSS position information, regardless of the frequency priority.</w:t>
      </w:r>
    </w:p>
    <w:p>
      <w:pPr>
        <w:jc w:val="both"/>
        <w:rPr>
          <w:b/>
          <w:bCs/>
          <w:i/>
          <w:iCs/>
          <w:sz w:val="20"/>
          <w:szCs w:val="20"/>
        </w:rPr>
      </w:pPr>
      <w:r>
        <w:rPr>
          <w:b/>
          <w:bCs/>
          <w:i/>
          <w:iCs/>
          <w:sz w:val="20"/>
          <w:szCs w:val="20"/>
        </w:rPr>
        <w:t xml:space="preserve">Proposal </w:t>
      </w:r>
      <w:r>
        <w:rPr>
          <w:rFonts w:hint="eastAsia"/>
          <w:b/>
          <w:bCs/>
          <w:i/>
          <w:iCs/>
          <w:sz w:val="20"/>
          <w:szCs w:val="20"/>
        </w:rPr>
        <w:t>3</w:t>
      </w:r>
      <w:r>
        <w:rPr>
          <w:b/>
          <w:bCs/>
          <w:i/>
          <w:iCs/>
          <w:sz w:val="20"/>
          <w:szCs w:val="20"/>
        </w:rPr>
        <w:t xml:space="preserve">: </w:t>
      </w:r>
      <w:r>
        <w:rPr>
          <w:rFonts w:hint="eastAsia"/>
          <w:b/>
          <w:bCs/>
          <w:i/>
          <w:iCs/>
          <w:sz w:val="20"/>
          <w:szCs w:val="20"/>
        </w:rPr>
        <w:t xml:space="preserve">Revise the definition of </w:t>
      </w:r>
      <w:r>
        <w:rPr>
          <w:b/>
          <w:bCs/>
          <w:i/>
          <w:iCs/>
          <w:sz w:val="20"/>
          <w:szCs w:val="20"/>
          <w:lang w:val="en-GB"/>
        </w:rPr>
        <w:t>K</w:t>
      </w:r>
      <w:r>
        <w:rPr>
          <w:b/>
          <w:bCs/>
          <w:i/>
          <w:iCs/>
          <w:sz w:val="20"/>
          <w:szCs w:val="20"/>
          <w:vertAlign w:val="subscript"/>
          <w:lang w:val="en-GB"/>
        </w:rPr>
        <w:t>carrier</w:t>
      </w:r>
      <w:r>
        <w:rPr>
          <w:b/>
          <w:bCs/>
          <w:i/>
          <w:iCs/>
          <w:sz w:val="20"/>
          <w:szCs w:val="20"/>
          <w:lang w:val="en-GB"/>
        </w:rPr>
        <w:t xml:space="preserve"> </w:t>
      </w:r>
      <w:r>
        <w:rPr>
          <w:rFonts w:hint="eastAsia"/>
          <w:b/>
          <w:bCs/>
          <w:i/>
          <w:iCs/>
          <w:sz w:val="20"/>
          <w:szCs w:val="20"/>
        </w:rPr>
        <w:t>to the number of NR inter-frequency carriers indicated by the serving cell, except for the TN only frequency carrier where there is no coverage of that frequency based on the provide TN cell coverage information and UE GNSS position information.</w:t>
      </w:r>
    </w:p>
    <w:p>
      <w:pPr>
        <w:jc w:val="both"/>
        <w:rPr>
          <w:sz w:val="20"/>
          <w:szCs w:val="20"/>
        </w:rPr>
      </w:pPr>
      <w:r>
        <w:rPr>
          <w:rFonts w:hint="eastAsia"/>
          <w:sz w:val="20"/>
          <w:szCs w:val="20"/>
        </w:rPr>
        <w:t>In current spec, the UE shall search every layer of higher priority at least every T</w:t>
      </w:r>
      <w:r>
        <w:rPr>
          <w:rFonts w:hint="eastAsia"/>
          <w:sz w:val="20"/>
          <w:szCs w:val="20"/>
          <w:vertAlign w:val="subscript"/>
        </w:rPr>
        <w:t>higher_priority_search</w:t>
      </w:r>
      <w:r>
        <w:rPr>
          <w:rFonts w:hint="eastAsia"/>
          <w:sz w:val="20"/>
          <w:szCs w:val="20"/>
        </w:rPr>
        <w:t xml:space="preserve"> = (60 * N</w:t>
      </w:r>
      <w:r>
        <w:rPr>
          <w:rFonts w:hint="eastAsia"/>
          <w:sz w:val="20"/>
          <w:szCs w:val="20"/>
          <w:vertAlign w:val="subscript"/>
        </w:rPr>
        <w:t>layers</w:t>
      </w:r>
      <w:r>
        <w:rPr>
          <w:rFonts w:hint="eastAsia"/>
          <w:sz w:val="20"/>
          <w:szCs w:val="20"/>
        </w:rPr>
        <w:t>) seconds, where N</w:t>
      </w:r>
      <w:r>
        <w:rPr>
          <w:rFonts w:hint="eastAsia"/>
          <w:sz w:val="20"/>
          <w:szCs w:val="20"/>
          <w:vertAlign w:val="subscript"/>
        </w:rPr>
        <w:t>layers</w:t>
      </w:r>
      <w:r>
        <w:rPr>
          <w:rFonts w:hint="eastAsia"/>
          <w:sz w:val="20"/>
          <w:szCs w:val="20"/>
        </w:rPr>
        <w:t xml:space="preserve"> is the total number of higher priority NR carrier frequencies broadcasted in system information. How does the UE search the higher priority layers is up to UE implementation, we don</w:t>
      </w:r>
      <w:r>
        <w:rPr>
          <w:sz w:val="20"/>
          <w:szCs w:val="20"/>
        </w:rPr>
        <w:t>’</w:t>
      </w:r>
      <w:r>
        <w:rPr>
          <w:rFonts w:hint="eastAsia"/>
          <w:sz w:val="20"/>
          <w:szCs w:val="20"/>
        </w:rPr>
        <w:t xml:space="preserve">t see the urgent necessity of differentiate the TN frequency layer and NTN frequency layer among higher layers. </w:t>
      </w:r>
    </w:p>
    <w:p>
      <w:pPr>
        <w:jc w:val="both"/>
        <w:rPr>
          <w:b/>
          <w:bCs/>
          <w:i/>
          <w:iCs/>
          <w:sz w:val="20"/>
          <w:szCs w:val="20"/>
        </w:rPr>
      </w:pPr>
      <w:r>
        <w:rPr>
          <w:rFonts w:hint="eastAsia"/>
          <w:b/>
          <w:bCs/>
          <w:i/>
          <w:iCs/>
          <w:sz w:val="20"/>
          <w:szCs w:val="20"/>
        </w:rPr>
        <w:t>Observation1</w:t>
      </w:r>
      <w:r>
        <w:rPr>
          <w:b/>
          <w:bCs/>
          <w:i/>
          <w:iCs/>
          <w:sz w:val="20"/>
          <w:szCs w:val="20"/>
        </w:rPr>
        <w:t xml:space="preserve">: </w:t>
      </w:r>
      <w:r>
        <w:rPr>
          <w:rFonts w:hint="eastAsia"/>
          <w:b/>
          <w:bCs/>
          <w:i/>
          <w:iCs/>
          <w:sz w:val="20"/>
          <w:szCs w:val="20"/>
        </w:rPr>
        <w:t xml:space="preserve">There is no urgent necessity of differentiate the TN frequency layer and NTN frequency layer among higher layers. </w:t>
      </w:r>
    </w:p>
    <w:p>
      <w:pPr>
        <w:jc w:val="both"/>
        <w:rPr>
          <w:b/>
          <w:bCs/>
          <w:i/>
          <w:iCs/>
          <w:sz w:val="20"/>
          <w:szCs w:val="20"/>
        </w:rPr>
      </w:pPr>
      <w:r>
        <w:rPr>
          <w:rFonts w:hint="eastAsia"/>
          <w:b/>
          <w:bCs/>
          <w:i/>
          <w:iCs/>
          <w:sz w:val="20"/>
          <w:szCs w:val="20"/>
        </w:rPr>
        <w:t>Proposal 4: No need to consider shorter T</w:t>
      </w:r>
      <w:r>
        <w:rPr>
          <w:rFonts w:hint="eastAsia"/>
          <w:b/>
          <w:bCs/>
          <w:i/>
          <w:iCs/>
          <w:sz w:val="20"/>
          <w:szCs w:val="20"/>
          <w:vertAlign w:val="subscript"/>
        </w:rPr>
        <w:t>higher_priority_search</w:t>
      </w:r>
      <w:r>
        <w:rPr>
          <w:rFonts w:hint="eastAsia"/>
          <w:b/>
          <w:bCs/>
          <w:i/>
          <w:iCs/>
          <w:sz w:val="20"/>
          <w:szCs w:val="20"/>
        </w:rPr>
        <w:t xml:space="preserve"> for TN frequency layer with higher priority comparing to NTN frequency layer with higher priority.</w:t>
      </w:r>
    </w:p>
    <w:p>
      <w:pPr>
        <w:rPr>
          <w:rFonts w:eastAsia="等线"/>
          <w:b/>
          <w:bCs/>
          <w:i/>
          <w:iCs/>
          <w:sz w:val="20"/>
          <w:szCs w:val="20"/>
          <w:lang w:eastAsia="ko-KR"/>
        </w:rPr>
      </w:pPr>
    </w:p>
    <w:p>
      <w:pPr>
        <w:outlineLvl w:val="2"/>
        <w:rPr>
          <w:b/>
          <w:i/>
          <w:iCs/>
          <w:sz w:val="20"/>
          <w:szCs w:val="20"/>
          <w:u w:val="single"/>
          <w:lang w:eastAsia="ko-KR"/>
        </w:rPr>
      </w:pPr>
      <w:r>
        <w:rPr>
          <w:b/>
          <w:i/>
          <w:iCs/>
          <w:sz w:val="20"/>
          <w:szCs w:val="20"/>
          <w:u w:val="single"/>
          <w:lang w:eastAsia="ko-KR"/>
        </w:rPr>
        <w:t>Issue 3-3: Time-based measurement initiation for cell reselection in earth moving cell</w:t>
      </w:r>
    </w:p>
    <w:p>
      <w:pPr>
        <w:spacing w:line="252" w:lineRule="auto"/>
        <w:rPr>
          <w:b/>
          <w:bCs/>
          <w:i/>
          <w:iCs/>
          <w:sz w:val="20"/>
          <w:szCs w:val="20"/>
          <w:lang w:eastAsia="ja-JP"/>
        </w:rPr>
      </w:pPr>
      <w:r>
        <w:rPr>
          <w:b/>
          <w:bCs/>
          <w:i/>
          <w:iCs/>
          <w:sz w:val="20"/>
          <w:szCs w:val="20"/>
          <w:lang w:eastAsia="ja-JP"/>
        </w:rPr>
        <w:t>FFS:</w:t>
      </w:r>
    </w:p>
    <w:p>
      <w:pPr>
        <w:pStyle w:val="75"/>
        <w:numPr>
          <w:ilvl w:val="0"/>
          <w:numId w:val="4"/>
        </w:numPr>
        <w:ind w:left="852" w:hanging="568" w:firstLineChars="0"/>
        <w:rPr>
          <w:i/>
          <w:iCs/>
          <w:sz w:val="20"/>
          <w:szCs w:val="20"/>
          <w:lang w:eastAsia="ja-JP"/>
        </w:rPr>
      </w:pPr>
      <w:r>
        <w:rPr>
          <w:i/>
          <w:iCs/>
          <w:sz w:val="20"/>
          <w:szCs w:val="20"/>
          <w:lang w:eastAsia="ja-JP"/>
        </w:rPr>
        <w:t>If the time-based cell re-selection is applicable to the earth moving cell scenarios, the existing RRC idle/inactive mode requirements referring to ‘t-service’ are reused. Note that the existing requirements on ‘4.2C Cell Re-selection for NR UE for Satellite Access’ do not differentiate between the earth-fixed and earth-moving cell cases. And the requirement for the earth moving cell can be updated, if the group agrees, due to a relatively shorter service time compared to the earth fixed cell scenario depending on UE location.</w:t>
      </w:r>
    </w:p>
    <w:p>
      <w:pPr>
        <w:tabs>
          <w:tab w:val="left" w:pos="1134"/>
        </w:tabs>
        <w:spacing w:before="60" w:after="60"/>
        <w:jc w:val="both"/>
        <w:rPr>
          <w:sz w:val="20"/>
          <w:szCs w:val="20"/>
        </w:rPr>
      </w:pPr>
      <w:r>
        <w:rPr>
          <w:sz w:val="20"/>
          <w:szCs w:val="20"/>
        </w:rPr>
        <w:t>Based on RAN2’s agreement, time-based measurement initiation will be used in earth-moving system</w:t>
      </w:r>
      <w:r>
        <w:rPr>
          <w:rFonts w:hint="eastAsia"/>
          <w:sz w:val="20"/>
          <w:szCs w:val="20"/>
        </w:rPr>
        <w:t xml:space="preserve">, and the existing RRC signaling of </w:t>
      </w:r>
      <w:r>
        <w:rPr>
          <w:sz w:val="20"/>
          <w:szCs w:val="20"/>
        </w:rPr>
        <w:t>‘</w:t>
      </w:r>
      <w:r>
        <w:rPr>
          <w:rFonts w:hint="eastAsia"/>
          <w:sz w:val="20"/>
          <w:szCs w:val="20"/>
        </w:rPr>
        <w:t>t-service</w:t>
      </w:r>
      <w:r>
        <w:rPr>
          <w:sz w:val="20"/>
          <w:szCs w:val="20"/>
        </w:rPr>
        <w:t>’</w:t>
      </w:r>
      <w:r>
        <w:rPr>
          <w:rFonts w:hint="eastAsia"/>
          <w:sz w:val="20"/>
          <w:szCs w:val="20"/>
        </w:rPr>
        <w:t xml:space="preserve"> with updated description will be reused to indicate the feeder-link switch timing. Therefore, t</w:t>
      </w:r>
      <w:r>
        <w:rPr>
          <w:sz w:val="20"/>
          <w:szCs w:val="20"/>
        </w:rPr>
        <w:t xml:space="preserve">he </w:t>
      </w:r>
      <w:r>
        <w:rPr>
          <w:rFonts w:hint="eastAsia"/>
          <w:sz w:val="20"/>
          <w:szCs w:val="20"/>
        </w:rPr>
        <w:t xml:space="preserve">existing </w:t>
      </w:r>
      <w:r>
        <w:rPr>
          <w:sz w:val="20"/>
          <w:szCs w:val="20"/>
        </w:rPr>
        <w:t>time-based cell re</w:t>
      </w:r>
      <w:r>
        <w:rPr>
          <w:rFonts w:hint="eastAsia"/>
          <w:sz w:val="20"/>
          <w:szCs w:val="20"/>
        </w:rPr>
        <w:t>-</w:t>
      </w:r>
      <w:r>
        <w:rPr>
          <w:sz w:val="20"/>
          <w:szCs w:val="20"/>
        </w:rPr>
        <w:t>selection</w:t>
      </w:r>
      <w:r>
        <w:rPr>
          <w:rFonts w:hint="eastAsia"/>
          <w:sz w:val="20"/>
          <w:szCs w:val="20"/>
        </w:rPr>
        <w:t xml:space="preserve"> and cell selection</w:t>
      </w:r>
      <w:r>
        <w:rPr>
          <w:sz w:val="20"/>
          <w:szCs w:val="20"/>
        </w:rPr>
        <w:t xml:space="preserve"> mechanism could be re</w:t>
      </w:r>
      <w:r>
        <w:rPr>
          <w:rFonts w:hint="eastAsia"/>
          <w:sz w:val="20"/>
          <w:szCs w:val="20"/>
        </w:rPr>
        <w:t>used, which are:</w:t>
      </w:r>
    </w:p>
    <w:p>
      <w:pPr>
        <w:tabs>
          <w:tab w:val="left" w:pos="1134"/>
        </w:tabs>
        <w:spacing w:before="60" w:after="60"/>
        <w:jc w:val="both"/>
        <w:rPr>
          <w:i/>
          <w:iCs/>
          <w:sz w:val="20"/>
          <w:szCs w:val="20"/>
        </w:rPr>
      </w:pPr>
      <w:r>
        <w:rPr>
          <w:rFonts w:hint="eastAsia"/>
          <w:i/>
          <w:iCs/>
          <w:sz w:val="20"/>
          <w:szCs w:val="20"/>
        </w:rPr>
        <w:t>I</w:t>
      </w:r>
      <w:r>
        <w:rPr>
          <w:i/>
          <w:iCs/>
          <w:sz w:val="20"/>
          <w:szCs w:val="20"/>
        </w:rPr>
        <w:t>f the UE is configured with ‘t-service’</w:t>
      </w:r>
      <w:r>
        <w:rPr>
          <w:rFonts w:hint="eastAsia"/>
          <w:i/>
          <w:iCs/>
          <w:sz w:val="20"/>
          <w:szCs w:val="20"/>
        </w:rPr>
        <w:t>,</w:t>
      </w:r>
      <w:r>
        <w:rPr>
          <w:i/>
          <w:iCs/>
          <w:sz w:val="20"/>
          <w:szCs w:val="20"/>
        </w:rPr>
        <w:t xml:space="preserve"> the UE should start measurements of the neighbour cells indicated by the serving cell before ‘t-service’ is reached according to the requirements</w:t>
      </w:r>
    </w:p>
    <w:p>
      <w:pPr>
        <w:tabs>
          <w:tab w:val="left" w:pos="1134"/>
        </w:tabs>
        <w:spacing w:before="60" w:after="60"/>
        <w:jc w:val="both"/>
        <w:rPr>
          <w:i/>
          <w:iCs/>
          <w:sz w:val="20"/>
          <w:szCs w:val="20"/>
        </w:rPr>
      </w:pPr>
      <w:r>
        <w:rPr>
          <w:i/>
          <w:iCs/>
          <w:sz w:val="20"/>
          <w:szCs w:val="20"/>
        </w:rPr>
        <w:t>If the UE is configured with ‘t-Service’ in the serving cell then the UE shall initiate cell selection procedures for the selected PLMN as defined in TS 38.304 when any of the following conditions is fulfilled:</w:t>
      </w:r>
    </w:p>
    <w:p>
      <w:pPr>
        <w:pStyle w:val="50"/>
        <w:rPr>
          <w:i/>
          <w:iCs/>
          <w:szCs w:val="24"/>
          <w:lang w:eastAsia="zh-CN"/>
        </w:rPr>
      </w:pPr>
      <w:r>
        <w:rPr>
          <w:i/>
          <w:iCs/>
          <w:lang w:val="en-US"/>
        </w:rPr>
        <w:t>-</w:t>
      </w:r>
      <w:r>
        <w:rPr>
          <w:i/>
          <w:iCs/>
          <w:lang w:val="en-US"/>
        </w:rPr>
        <w:tab/>
      </w:r>
      <w:r>
        <w:rPr>
          <w:i/>
          <w:iCs/>
          <w:lang w:val="en-US"/>
        </w:rPr>
        <w:t>If the UE in RRC_IDLE has not found any new suitable cell based on searches and measurements using the intra-frequency, inter-frequency and inter-RAT information indicated in the system information within 10 s since time instance T1 provided that ‘t-Service’ &gt; T1 or</w:t>
      </w:r>
    </w:p>
    <w:p>
      <w:pPr>
        <w:pStyle w:val="50"/>
        <w:rPr>
          <w:i/>
          <w:iCs/>
          <w:szCs w:val="24"/>
          <w:lang w:eastAsia="zh-CN"/>
        </w:rPr>
      </w:pPr>
      <w:r>
        <w:rPr>
          <w:i/>
          <w:iCs/>
          <w:lang w:val="en-US"/>
        </w:rPr>
        <w:t>-</w:t>
      </w:r>
      <w:r>
        <w:rPr>
          <w:i/>
          <w:iCs/>
          <w:lang w:val="en-US"/>
        </w:rPr>
        <w:tab/>
      </w:r>
      <w:r>
        <w:rPr>
          <w:i/>
          <w:iCs/>
          <w:lang w:val="en-US"/>
        </w:rPr>
        <w:t>If the UE in RRC_IDLE has not found any new suitable cell based on searches and measurements using the intra-frequency, inter-frequency and inter-RAT information indicated in the system information within 10 s since the time instance ‘t-Service’.</w:t>
      </w:r>
    </w:p>
    <w:p>
      <w:pPr>
        <w:pStyle w:val="50"/>
        <w:rPr>
          <w:i/>
          <w:iCs/>
          <w:szCs w:val="24"/>
          <w:lang w:eastAsia="zh-CN"/>
        </w:rPr>
      </w:pPr>
      <w:r>
        <w:rPr>
          <w:i/>
          <w:iCs/>
          <w:szCs w:val="24"/>
          <w:lang w:eastAsia="zh-CN"/>
        </w:rPr>
        <w:t>-</w:t>
      </w:r>
      <w:r>
        <w:rPr>
          <w:i/>
          <w:iCs/>
          <w:szCs w:val="24"/>
          <w:lang w:eastAsia="zh-CN"/>
        </w:rPr>
        <w:tab/>
      </w:r>
      <w:r>
        <w:rPr>
          <w:i/>
          <w:iCs/>
          <w:szCs w:val="24"/>
          <w:lang w:eastAsia="zh-CN"/>
        </w:rPr>
        <w:t>Where, T1 is the time instance in seconds when the UE has determined that the serving cell does not fulfil the cell selection criterion S.</w:t>
      </w:r>
    </w:p>
    <w:p>
      <w:pPr>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rPr>
        <w:t>For time-based cell re-selection in earth moving cell NTN deployments, the existing time-based cell re-selection and cell selection mechanism could be reused.</w:t>
      </w:r>
    </w:p>
    <w:p>
      <w:pPr>
        <w:tabs>
          <w:tab w:val="left" w:pos="1134"/>
        </w:tabs>
        <w:spacing w:before="60" w:after="60"/>
        <w:jc w:val="both"/>
        <w:rPr>
          <w:sz w:val="20"/>
          <w:szCs w:val="20"/>
        </w:rPr>
      </w:pPr>
      <w:r>
        <w:rPr>
          <w:rFonts w:hint="eastAsia"/>
          <w:sz w:val="20"/>
          <w:szCs w:val="20"/>
        </w:rPr>
        <w:t>Considering of the short service time of earth moving cell which is about 10s, we think the cell re-selection detection/evaluation/measurement requirement enhancement is necessary. The requirement for HST could be the starting point.</w:t>
      </w:r>
    </w:p>
    <w:p>
      <w:pPr>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6</w:t>
      </w:r>
      <w:r>
        <w:rPr>
          <w:rFonts w:eastAsia="等线"/>
          <w:b/>
          <w:bCs/>
          <w:i/>
          <w:iCs/>
          <w:sz w:val="20"/>
          <w:szCs w:val="20"/>
        </w:rPr>
        <w:t xml:space="preserve">: </w:t>
      </w:r>
      <w:r>
        <w:rPr>
          <w:rFonts w:hint="eastAsia" w:eastAsia="等线"/>
          <w:b/>
          <w:bCs/>
          <w:i/>
          <w:iCs/>
          <w:sz w:val="20"/>
          <w:szCs w:val="20"/>
        </w:rPr>
        <w:t>In earth-moving cell deployment, the cell re-selection detection/evaluation/measurement requirements enhancement is necessary.</w:t>
      </w:r>
    </w:p>
    <w:p>
      <w:pPr>
        <w:rPr>
          <w:rFonts w:eastAsia="等线"/>
          <w:b/>
          <w:bCs/>
          <w:i/>
          <w:iCs/>
          <w:sz w:val="20"/>
          <w:szCs w:val="20"/>
        </w:rPr>
      </w:pPr>
    </w:p>
    <w:p>
      <w:pPr>
        <w:outlineLvl w:val="2"/>
        <w:rPr>
          <w:b/>
          <w:i/>
          <w:iCs/>
          <w:sz w:val="20"/>
          <w:szCs w:val="20"/>
          <w:u w:val="single"/>
          <w:lang w:eastAsia="ko-KR"/>
        </w:rPr>
      </w:pPr>
      <w:r>
        <w:rPr>
          <w:b/>
          <w:i/>
          <w:iCs/>
          <w:sz w:val="20"/>
          <w:szCs w:val="20"/>
          <w:u w:val="single"/>
          <w:lang w:eastAsia="ko-KR"/>
        </w:rPr>
        <w:t>Issue 3-4: Location-based measurement initiation for cell re</w:t>
      </w:r>
      <w:r>
        <w:rPr>
          <w:rFonts w:hint="eastAsia"/>
          <w:b/>
          <w:i/>
          <w:iCs/>
          <w:sz w:val="20"/>
          <w:szCs w:val="20"/>
          <w:u w:val="single"/>
        </w:rPr>
        <w:t>-</w:t>
      </w:r>
      <w:r>
        <w:rPr>
          <w:b/>
          <w:i/>
          <w:iCs/>
          <w:sz w:val="20"/>
          <w:szCs w:val="20"/>
          <w:u w:val="single"/>
          <w:lang w:eastAsia="ko-KR"/>
        </w:rPr>
        <w:t>selection in earth moving cell</w:t>
      </w:r>
    </w:p>
    <w:p>
      <w:pPr>
        <w:spacing w:line="252" w:lineRule="auto"/>
        <w:rPr>
          <w:b/>
          <w:bCs/>
          <w:i/>
          <w:iCs/>
          <w:sz w:val="20"/>
          <w:szCs w:val="20"/>
          <w:lang w:eastAsia="ja-JP"/>
        </w:rPr>
      </w:pPr>
      <w:r>
        <w:rPr>
          <w:b/>
          <w:bCs/>
          <w:i/>
          <w:iCs/>
          <w:sz w:val="20"/>
          <w:szCs w:val="20"/>
          <w:lang w:eastAsia="ja-JP"/>
        </w:rPr>
        <w:t>Agreement:</w:t>
      </w:r>
    </w:p>
    <w:p>
      <w:pPr>
        <w:pStyle w:val="75"/>
        <w:numPr>
          <w:ilvl w:val="0"/>
          <w:numId w:val="4"/>
        </w:numPr>
        <w:ind w:left="644" w:firstLineChars="0"/>
        <w:rPr>
          <w:i/>
          <w:iCs/>
          <w:sz w:val="20"/>
          <w:szCs w:val="20"/>
          <w:lang w:eastAsia="ja-JP"/>
        </w:rPr>
      </w:pPr>
      <w:r>
        <w:rPr>
          <w:i/>
          <w:iCs/>
          <w:sz w:val="20"/>
          <w:szCs w:val="20"/>
        </w:rPr>
        <w:t xml:space="preserve">Define location-based measurement initiation requirements based on the existing requirements </w:t>
      </w:r>
      <w:r>
        <w:rPr>
          <w:i/>
          <w:iCs/>
          <w:sz w:val="20"/>
          <w:szCs w:val="20"/>
          <w:lang w:eastAsia="ja-JP"/>
        </w:rPr>
        <w:t>on ‘4.2C Cell Re-selection for NR UE for Satellite Access.’ The requirement may update the following aspects:</w:t>
      </w:r>
    </w:p>
    <w:p>
      <w:pPr>
        <w:pStyle w:val="75"/>
        <w:numPr>
          <w:ilvl w:val="1"/>
          <w:numId w:val="4"/>
        </w:numPr>
        <w:ind w:left="1364" w:firstLineChars="0"/>
        <w:rPr>
          <w:i/>
          <w:iCs/>
          <w:sz w:val="20"/>
          <w:szCs w:val="20"/>
          <w:lang w:eastAsia="ja-JP"/>
        </w:rPr>
      </w:pPr>
      <w:r>
        <w:rPr>
          <w:i/>
          <w:iCs/>
          <w:sz w:val="20"/>
          <w:szCs w:val="20"/>
          <w:lang w:eastAsia="ja-JP"/>
        </w:rPr>
        <w:t>Definition of the reference location to reflect the time varying reference location</w:t>
      </w:r>
    </w:p>
    <w:p>
      <w:pPr>
        <w:pStyle w:val="75"/>
        <w:numPr>
          <w:ilvl w:val="2"/>
          <w:numId w:val="4"/>
        </w:numPr>
        <w:ind w:left="2084" w:firstLineChars="0"/>
        <w:rPr>
          <w:i/>
          <w:iCs/>
          <w:sz w:val="20"/>
          <w:szCs w:val="20"/>
          <w:lang w:eastAsia="ja-JP"/>
        </w:rPr>
      </w:pPr>
      <w:r>
        <w:rPr>
          <w:i/>
          <w:iCs/>
          <w:sz w:val="20"/>
          <w:szCs w:val="20"/>
          <w:lang w:eastAsia="ja-JP"/>
        </w:rPr>
        <w:t xml:space="preserve">FFS: how to update the reference location over time based on reference location, epoch time, satellite ephemeris, etc. </w:t>
      </w:r>
    </w:p>
    <w:p>
      <w:pPr>
        <w:pStyle w:val="75"/>
        <w:numPr>
          <w:ilvl w:val="1"/>
          <w:numId w:val="4"/>
        </w:numPr>
        <w:ind w:left="1364" w:firstLineChars="0"/>
        <w:rPr>
          <w:i/>
          <w:iCs/>
          <w:sz w:val="20"/>
          <w:szCs w:val="20"/>
          <w:lang w:eastAsia="ja-JP"/>
        </w:rPr>
      </w:pPr>
      <w:r>
        <w:rPr>
          <w:i/>
          <w:iCs/>
          <w:sz w:val="20"/>
          <w:szCs w:val="20"/>
          <w:lang w:eastAsia="ja-JP"/>
        </w:rPr>
        <w:t>The location margin for evaluating the distance threshold can be extended by X meters</w:t>
      </w:r>
    </w:p>
    <w:p>
      <w:pPr>
        <w:pStyle w:val="75"/>
        <w:numPr>
          <w:ilvl w:val="1"/>
          <w:numId w:val="4"/>
        </w:numPr>
        <w:ind w:left="1364" w:firstLineChars="0"/>
        <w:rPr>
          <w:i/>
          <w:iCs/>
          <w:sz w:val="20"/>
          <w:szCs w:val="20"/>
          <w:lang w:eastAsia="ja-JP"/>
        </w:rPr>
      </w:pPr>
      <w:r>
        <w:rPr>
          <w:i/>
          <w:iCs/>
          <w:sz w:val="20"/>
          <w:szCs w:val="20"/>
          <w:lang w:eastAsia="ja-JP"/>
        </w:rPr>
        <w:t>any other updates can be discussed/added later to be compliant with RAN2 spec</w:t>
      </w:r>
    </w:p>
    <w:p>
      <w:pPr>
        <w:spacing w:line="252" w:lineRule="auto"/>
        <w:rPr>
          <w:b/>
          <w:bCs/>
          <w:i/>
          <w:iCs/>
          <w:sz w:val="20"/>
          <w:szCs w:val="20"/>
          <w:lang w:eastAsia="ja-JP"/>
        </w:rPr>
      </w:pPr>
      <w:r>
        <w:rPr>
          <w:b/>
          <w:bCs/>
          <w:i/>
          <w:iCs/>
          <w:sz w:val="20"/>
          <w:szCs w:val="20"/>
          <w:lang w:eastAsia="ja-JP"/>
        </w:rPr>
        <w:t>FFS:</w:t>
      </w:r>
    </w:p>
    <w:p>
      <w:pPr>
        <w:pStyle w:val="75"/>
        <w:numPr>
          <w:ilvl w:val="0"/>
          <w:numId w:val="4"/>
        </w:numPr>
        <w:ind w:left="644" w:firstLineChars="0"/>
        <w:rPr>
          <w:i/>
          <w:iCs/>
          <w:sz w:val="20"/>
          <w:szCs w:val="20"/>
          <w:lang w:eastAsia="ja-JP"/>
        </w:rPr>
      </w:pPr>
      <w:r>
        <w:rPr>
          <w:i/>
          <w:iCs/>
          <w:sz w:val="20"/>
          <w:szCs w:val="20"/>
          <w:lang w:eastAsia="ja-JP"/>
        </w:rPr>
        <w:t>Whether the coverage information of serving cell is (absolutely) necessary. If agreed, RAN4 to send an LS ask RAN2 to introduce the coverage information of serving cell for location-based measurement initiation.</w:t>
      </w:r>
    </w:p>
    <w:p>
      <w:pPr>
        <w:pStyle w:val="75"/>
        <w:numPr>
          <w:ilvl w:val="0"/>
          <w:numId w:val="4"/>
        </w:numPr>
        <w:ind w:left="644" w:firstLineChars="0"/>
        <w:rPr>
          <w:rFonts w:eastAsia="Malgun Gothic"/>
          <w:i/>
          <w:iCs/>
          <w:sz w:val="20"/>
          <w:szCs w:val="20"/>
          <w:lang w:eastAsia="ko-KR"/>
        </w:rPr>
      </w:pPr>
      <w:r>
        <w:rPr>
          <w:i/>
          <w:iCs/>
          <w:sz w:val="20"/>
          <w:szCs w:val="20"/>
          <w:lang w:eastAsia="ja-JP"/>
        </w:rPr>
        <w:t>Additional reference location for the serving cell to compensate error for the derived trajectory of the reference location should be provided for earth moving LEO deployment, and RAN4 needs to ask RAN2 to introduce the additional reference location</w:t>
      </w:r>
    </w:p>
    <w:p>
      <w:pPr>
        <w:spacing w:line="252" w:lineRule="auto"/>
        <w:rPr>
          <w:b/>
          <w:bCs/>
          <w:i/>
          <w:iCs/>
          <w:sz w:val="20"/>
          <w:szCs w:val="20"/>
          <w:lang w:eastAsia="ja-JP"/>
        </w:rPr>
      </w:pPr>
      <w:r>
        <w:rPr>
          <w:b/>
          <w:bCs/>
          <w:i/>
          <w:iCs/>
          <w:sz w:val="20"/>
          <w:szCs w:val="20"/>
          <w:lang w:eastAsia="ja-JP"/>
        </w:rPr>
        <w:t>FFS:</w:t>
      </w:r>
    </w:p>
    <w:p>
      <w:pPr>
        <w:pStyle w:val="75"/>
        <w:numPr>
          <w:ilvl w:val="0"/>
          <w:numId w:val="4"/>
        </w:numPr>
        <w:ind w:left="644" w:firstLineChars="0"/>
        <w:rPr>
          <w:rFonts w:eastAsia="Malgun Gothic"/>
          <w:i/>
          <w:iCs/>
          <w:sz w:val="20"/>
          <w:szCs w:val="20"/>
          <w:lang w:eastAsia="ko-KR"/>
        </w:rPr>
      </w:pPr>
      <w:r>
        <w:rPr>
          <w:rFonts w:eastAsia="Malgun Gothic"/>
          <w:i/>
          <w:iCs/>
          <w:sz w:val="20"/>
          <w:szCs w:val="20"/>
          <w:lang w:eastAsia="ko-KR"/>
        </w:rPr>
        <w:t>For earth moving cell, shorter T</w:t>
      </w:r>
      <w:r>
        <w:rPr>
          <w:rFonts w:eastAsia="Malgun Gothic"/>
          <w:i/>
          <w:iCs/>
          <w:sz w:val="20"/>
          <w:szCs w:val="20"/>
          <w:vertAlign w:val="subscript"/>
          <w:lang w:eastAsia="ko-KR"/>
        </w:rPr>
        <w:t>higher_priority_search</w:t>
      </w:r>
      <w:r>
        <w:rPr>
          <w:rFonts w:eastAsia="Malgun Gothic"/>
          <w:i/>
          <w:iCs/>
          <w:sz w:val="20"/>
          <w:szCs w:val="20"/>
          <w:lang w:eastAsia="ko-KR"/>
        </w:rPr>
        <w:t xml:space="preserve"> for frequency layer with higher priority should be considered.</w:t>
      </w:r>
    </w:p>
    <w:p>
      <w:pPr>
        <w:spacing w:after="60"/>
        <w:jc w:val="both"/>
        <w:rPr>
          <w:sz w:val="20"/>
          <w:szCs w:val="20"/>
        </w:rPr>
      </w:pPr>
      <w:r>
        <w:rPr>
          <w:rFonts w:hint="eastAsia"/>
          <w:sz w:val="20"/>
          <w:szCs w:val="20"/>
        </w:rPr>
        <w:t>For the definition of the serving cell reference location of earth-moving deployment, if RAN2 give the corresponding definition or description in TS 38.331, we don</w:t>
      </w:r>
      <w:r>
        <w:rPr>
          <w:sz w:val="20"/>
          <w:szCs w:val="20"/>
        </w:rPr>
        <w:t>’</w:t>
      </w:r>
      <w:r>
        <w:rPr>
          <w:rFonts w:hint="eastAsia"/>
          <w:sz w:val="20"/>
          <w:szCs w:val="20"/>
        </w:rPr>
        <w:t>t think additional clarification need to be announced in RAN4.</w:t>
      </w:r>
    </w:p>
    <w:p>
      <w:pPr>
        <w:spacing w:after="60"/>
        <w:jc w:val="both"/>
        <w:rPr>
          <w:sz w:val="20"/>
          <w:szCs w:val="20"/>
        </w:rPr>
      </w:pPr>
      <w:r>
        <w:rPr>
          <w:rFonts w:hint="eastAsia" w:eastAsia="等线"/>
          <w:b/>
          <w:bCs/>
          <w:i/>
          <w:iCs/>
          <w:sz w:val="20"/>
          <w:szCs w:val="20"/>
        </w:rPr>
        <w:t>P</w:t>
      </w:r>
      <w:r>
        <w:rPr>
          <w:rFonts w:eastAsia="等线"/>
          <w:b/>
          <w:bCs/>
          <w:i/>
          <w:iCs/>
          <w:sz w:val="20"/>
          <w:szCs w:val="20"/>
        </w:rPr>
        <w:t>roposa</w:t>
      </w:r>
      <w:r>
        <w:rPr>
          <w:rFonts w:hint="eastAsia" w:eastAsia="等线"/>
          <w:b/>
          <w:bCs/>
          <w:i/>
          <w:iCs/>
          <w:sz w:val="20"/>
          <w:szCs w:val="20"/>
        </w:rPr>
        <w:t xml:space="preserve">l </w:t>
      </w:r>
      <w:r>
        <w:rPr>
          <w:rFonts w:hint="eastAsia" w:eastAsia="等线"/>
          <w:b/>
          <w:bCs/>
          <w:i/>
          <w:iCs/>
          <w:sz w:val="20"/>
          <w:szCs w:val="20"/>
          <w:lang w:val="en-US" w:eastAsia="zh-CN"/>
        </w:rPr>
        <w:t>7</w:t>
      </w:r>
      <w:r>
        <w:rPr>
          <w:rFonts w:hint="eastAsia" w:eastAsia="等线"/>
          <w:b/>
          <w:bCs/>
          <w:i/>
          <w:iCs/>
          <w:sz w:val="20"/>
          <w:szCs w:val="20"/>
        </w:rPr>
        <w:t>: For the definition of the serving cell reference location of earth-moving deployment, wait more progress of RAN2. If RAN2 give the corresponding definition or description in TS 38.331, then no need to add additional clarification in RAN4 spec.</w:t>
      </w:r>
    </w:p>
    <w:p>
      <w:pPr>
        <w:spacing w:after="60"/>
        <w:jc w:val="both"/>
        <w:rPr>
          <w:sz w:val="20"/>
          <w:szCs w:val="20"/>
        </w:rPr>
      </w:pPr>
      <w:r>
        <w:rPr>
          <w:rFonts w:hint="eastAsia"/>
          <w:sz w:val="20"/>
          <w:szCs w:val="20"/>
        </w:rPr>
        <w:t>The location margin for evaluating the distance threshold contains UE location error and reference location derivation error in earth-moving cell deployment. Recall to the discussion of quasi-fixed cell timing error , 50m is used as UE location error, and 20m is used as satellite location error which is derived by satellite ephemeris information. Considering of the reference location in earth moving deployment is also derived by serving satellite ephemeris and epochTime, we think 20m can be reused as the error margin.</w:t>
      </w:r>
    </w:p>
    <w:p>
      <w:pPr>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rPr>
        <w:t>The location margin for evaluating the distance threshold can be extended by 20 meters.</w:t>
      </w:r>
    </w:p>
    <w:p>
      <w:pPr>
        <w:spacing w:after="60"/>
        <w:jc w:val="both"/>
        <w:rPr>
          <w:rFonts w:eastAsia="宋体"/>
          <w:sz w:val="20"/>
          <w:szCs w:val="20"/>
        </w:rPr>
      </w:pPr>
      <w:r>
        <w:rPr>
          <w:rFonts w:hint="eastAsia"/>
          <w:sz w:val="20"/>
          <w:szCs w:val="20"/>
        </w:rPr>
        <w:t>As we known, the service time earth moving cell is quite short which is about 10s, while the T</w:t>
      </w:r>
      <w:r>
        <w:rPr>
          <w:rFonts w:hint="eastAsia"/>
          <w:sz w:val="20"/>
          <w:szCs w:val="20"/>
          <w:vertAlign w:val="subscript"/>
        </w:rPr>
        <w:t>higher_priority_search</w:t>
      </w:r>
      <w:r>
        <w:rPr>
          <w:rFonts w:hint="eastAsia"/>
          <w:sz w:val="20"/>
          <w:szCs w:val="20"/>
        </w:rPr>
        <w:t xml:space="preserve"> for each higher priority frequency layer is 60s. The service time is far from enough for UE to complete the higher priority search. Therefore, we support to consider shorter </w:t>
      </w:r>
      <w:r>
        <w:rPr>
          <w:rFonts w:eastAsia="Malgun Gothic"/>
          <w:sz w:val="20"/>
          <w:szCs w:val="20"/>
          <w:lang w:eastAsia="ko-KR"/>
        </w:rPr>
        <w:t>T</w:t>
      </w:r>
      <w:r>
        <w:rPr>
          <w:rFonts w:eastAsia="Malgun Gothic"/>
          <w:sz w:val="20"/>
          <w:szCs w:val="20"/>
          <w:vertAlign w:val="subscript"/>
          <w:lang w:eastAsia="ko-KR"/>
        </w:rPr>
        <w:t>higher_priority_search</w:t>
      </w:r>
      <w:r>
        <w:rPr>
          <w:rFonts w:eastAsia="Malgun Gothic"/>
          <w:sz w:val="20"/>
          <w:szCs w:val="20"/>
          <w:lang w:eastAsia="ko-KR"/>
        </w:rPr>
        <w:t xml:space="preserve"> for frequency layer with higher priority</w:t>
      </w:r>
      <w:r>
        <w:rPr>
          <w:rFonts w:hint="eastAsia" w:eastAsia="宋体"/>
          <w:sz w:val="20"/>
          <w:szCs w:val="20"/>
        </w:rPr>
        <w:t>, the specific value need to be FFS.</w:t>
      </w:r>
    </w:p>
    <w:p>
      <w:pPr>
        <w:jc w:val="both"/>
        <w:rPr>
          <w:rFonts w:eastAsia="宋体"/>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9</w:t>
      </w:r>
      <w:r>
        <w:rPr>
          <w:rFonts w:eastAsia="等线"/>
          <w:b/>
          <w:bCs/>
          <w:i/>
          <w:iCs/>
          <w:sz w:val="20"/>
          <w:szCs w:val="20"/>
        </w:rPr>
        <w:t xml:space="preserve">: </w:t>
      </w:r>
      <w:r>
        <w:rPr>
          <w:rFonts w:hint="eastAsia" w:eastAsia="等线"/>
          <w:b/>
          <w:bCs/>
          <w:i/>
          <w:iCs/>
          <w:sz w:val="20"/>
          <w:szCs w:val="20"/>
        </w:rPr>
        <w:t>C</w:t>
      </w:r>
      <w:r>
        <w:rPr>
          <w:rFonts w:hint="eastAsia"/>
          <w:b/>
          <w:bCs/>
          <w:i/>
          <w:iCs/>
          <w:sz w:val="20"/>
          <w:szCs w:val="20"/>
        </w:rPr>
        <w:t xml:space="preserve">onsider shorter </w:t>
      </w:r>
      <w:r>
        <w:rPr>
          <w:rFonts w:eastAsia="Malgun Gothic"/>
          <w:b/>
          <w:bCs/>
          <w:i/>
          <w:iCs/>
          <w:sz w:val="20"/>
          <w:szCs w:val="20"/>
          <w:lang w:eastAsia="ko-KR"/>
        </w:rPr>
        <w:t>T</w:t>
      </w:r>
      <w:r>
        <w:rPr>
          <w:rFonts w:eastAsia="Malgun Gothic"/>
          <w:b/>
          <w:bCs/>
          <w:i/>
          <w:iCs/>
          <w:sz w:val="20"/>
          <w:szCs w:val="20"/>
          <w:vertAlign w:val="subscript"/>
          <w:lang w:eastAsia="ko-KR"/>
        </w:rPr>
        <w:t>higher_priority_search</w:t>
      </w:r>
      <w:r>
        <w:rPr>
          <w:rFonts w:eastAsia="Malgun Gothic"/>
          <w:b/>
          <w:bCs/>
          <w:i/>
          <w:iCs/>
          <w:sz w:val="20"/>
          <w:szCs w:val="20"/>
          <w:lang w:eastAsia="ko-KR"/>
        </w:rPr>
        <w:t xml:space="preserve"> for frequency layer with higher priority</w:t>
      </w:r>
      <w:r>
        <w:rPr>
          <w:rFonts w:hint="eastAsia" w:eastAsia="宋体"/>
          <w:b/>
          <w:bCs/>
          <w:i/>
          <w:iCs/>
          <w:sz w:val="20"/>
          <w:szCs w:val="20"/>
        </w:rPr>
        <w:t>, the specific value need to be FFS.</w:t>
      </w:r>
    </w:p>
    <w:p>
      <w:pPr>
        <w:rPr>
          <w:rFonts w:eastAsia="宋体"/>
          <w:b/>
          <w:bCs/>
          <w:i/>
          <w:iCs/>
          <w:sz w:val="20"/>
          <w:szCs w:val="20"/>
        </w:rPr>
      </w:pPr>
    </w:p>
    <w:p>
      <w:pPr>
        <w:outlineLvl w:val="2"/>
        <w:rPr>
          <w:b/>
          <w:i/>
          <w:iCs/>
          <w:sz w:val="20"/>
          <w:szCs w:val="20"/>
          <w:u w:val="single"/>
          <w:lang w:eastAsia="ko-KR"/>
        </w:rPr>
      </w:pPr>
      <w:r>
        <w:rPr>
          <w:b/>
          <w:i/>
          <w:iCs/>
          <w:sz w:val="20"/>
          <w:szCs w:val="20"/>
          <w:u w:val="single"/>
          <w:lang w:eastAsia="ko-KR"/>
        </w:rPr>
        <w:t>Issue 3-5: Autonomous SMTC adjustment in RRC Idle/Inactive mode (a newly added scope)</w:t>
      </w:r>
    </w:p>
    <w:p>
      <w:pPr>
        <w:spacing w:line="252" w:lineRule="auto"/>
        <w:rPr>
          <w:b/>
          <w:bCs/>
          <w:i/>
          <w:iCs/>
          <w:sz w:val="20"/>
          <w:szCs w:val="20"/>
          <w:lang w:eastAsia="ja-JP"/>
        </w:rPr>
      </w:pPr>
      <w:r>
        <w:rPr>
          <w:b/>
          <w:bCs/>
          <w:i/>
          <w:iCs/>
          <w:sz w:val="20"/>
          <w:szCs w:val="20"/>
          <w:lang w:eastAsia="ja-JP"/>
        </w:rPr>
        <w:t>FFS:</w:t>
      </w:r>
    </w:p>
    <w:p>
      <w:pPr>
        <w:pStyle w:val="75"/>
        <w:numPr>
          <w:ilvl w:val="0"/>
          <w:numId w:val="4"/>
        </w:numPr>
        <w:ind w:left="852" w:hanging="568" w:firstLineChars="0"/>
        <w:rPr>
          <w:i/>
          <w:iCs/>
          <w:sz w:val="20"/>
          <w:szCs w:val="20"/>
        </w:rPr>
      </w:pPr>
      <w:r>
        <w:rPr>
          <w:i/>
          <w:iCs/>
          <w:sz w:val="20"/>
          <w:szCs w:val="20"/>
        </w:rPr>
        <w:t xml:space="preserve">In RRC inactive/idle mode, when more than one satellite, moving different directions relative to UE, is associated with one SMTC, and the SSBs from the satellites cannot be accommodated by the SMTC window, as to how to autonomously adjust the SMTC in the time domain and which cell(s)/satellite to measure </w:t>
      </w:r>
    </w:p>
    <w:p>
      <w:pPr>
        <w:pStyle w:val="75"/>
        <w:numPr>
          <w:ilvl w:val="1"/>
          <w:numId w:val="4"/>
        </w:numPr>
        <w:ind w:left="1272" w:hanging="568" w:firstLineChars="0"/>
        <w:rPr>
          <w:i/>
          <w:iCs/>
          <w:sz w:val="20"/>
          <w:szCs w:val="20"/>
        </w:rPr>
      </w:pPr>
      <w:r>
        <w:rPr>
          <w:i/>
          <w:iCs/>
          <w:sz w:val="20"/>
          <w:szCs w:val="20"/>
        </w:rPr>
        <w:t>Option A: up to UE implementation, i.e. no specific UE requirement is defined</w:t>
      </w:r>
    </w:p>
    <w:p>
      <w:pPr>
        <w:pStyle w:val="75"/>
        <w:numPr>
          <w:ilvl w:val="1"/>
          <w:numId w:val="4"/>
        </w:numPr>
        <w:ind w:left="1272" w:hanging="568" w:firstLineChars="0"/>
        <w:rPr>
          <w:i/>
          <w:iCs/>
          <w:sz w:val="20"/>
          <w:szCs w:val="20"/>
        </w:rPr>
      </w:pPr>
      <w:r>
        <w:rPr>
          <w:i/>
          <w:iCs/>
          <w:sz w:val="20"/>
          <w:szCs w:val="20"/>
        </w:rPr>
        <w:t>Option B: define an explicit UE requirement/behaviour. FFS on impact on RAN2 spec</w:t>
      </w:r>
    </w:p>
    <w:p>
      <w:pPr>
        <w:spacing w:after="60"/>
        <w:jc w:val="both"/>
        <w:rPr>
          <w:sz w:val="20"/>
          <w:szCs w:val="20"/>
        </w:rPr>
      </w:pPr>
      <w:r>
        <w:rPr>
          <w:rFonts w:hint="eastAsia"/>
          <w:sz w:val="20"/>
          <w:szCs w:val="20"/>
        </w:rPr>
        <w:t>In the above scenario, if one SMTC couldn</w:t>
      </w:r>
      <w:r>
        <w:rPr>
          <w:sz w:val="20"/>
          <w:szCs w:val="20"/>
        </w:rPr>
        <w:t>’</w:t>
      </w:r>
      <w:r>
        <w:rPr>
          <w:rFonts w:hint="eastAsia"/>
          <w:sz w:val="20"/>
          <w:szCs w:val="20"/>
        </w:rPr>
        <w:t>t cover all satellites which are needed to be monitored, following aspects could be considered to assist UE to adjust the SMTC window and monitor the preferred satellite(s)</w:t>
      </w:r>
    </w:p>
    <w:p>
      <w:pPr>
        <w:numPr>
          <w:ilvl w:val="0"/>
          <w:numId w:val="6"/>
        </w:numPr>
        <w:spacing w:after="60"/>
        <w:rPr>
          <w:sz w:val="20"/>
          <w:szCs w:val="20"/>
        </w:rPr>
      </w:pPr>
      <w:r>
        <w:rPr>
          <w:rFonts w:hint="eastAsia"/>
          <w:sz w:val="20"/>
          <w:szCs w:val="20"/>
        </w:rPr>
        <w:t>The cell quality, e.g., RSRQ/RSRQ</w:t>
      </w:r>
    </w:p>
    <w:p>
      <w:pPr>
        <w:numPr>
          <w:ilvl w:val="0"/>
          <w:numId w:val="6"/>
        </w:numPr>
        <w:spacing w:after="60"/>
        <w:rPr>
          <w:sz w:val="20"/>
          <w:szCs w:val="20"/>
        </w:rPr>
      </w:pPr>
      <w:r>
        <w:rPr>
          <w:rFonts w:hint="eastAsia"/>
          <w:sz w:val="20"/>
          <w:szCs w:val="20"/>
        </w:rPr>
        <w:t>The remaining service time if re-selected to</w:t>
      </w:r>
    </w:p>
    <w:p>
      <w:pPr>
        <w:numPr>
          <w:ilvl w:val="0"/>
          <w:numId w:val="6"/>
        </w:numPr>
        <w:spacing w:after="60"/>
        <w:rPr>
          <w:sz w:val="20"/>
          <w:szCs w:val="20"/>
        </w:rPr>
      </w:pPr>
      <w:r>
        <w:rPr>
          <w:rFonts w:hint="eastAsia"/>
          <w:sz w:val="20"/>
          <w:szCs w:val="20"/>
        </w:rPr>
        <w:t>The number of satellite which could covered by SMTC window after SMTC adjustment</w:t>
      </w:r>
    </w:p>
    <w:p>
      <w:pPr>
        <w:numPr>
          <w:ilvl w:val="0"/>
          <w:numId w:val="6"/>
        </w:numPr>
        <w:spacing w:after="60"/>
        <w:rPr>
          <w:sz w:val="20"/>
          <w:szCs w:val="20"/>
        </w:rPr>
      </w:pPr>
      <w:r>
        <w:rPr>
          <w:rFonts w:hint="eastAsia"/>
          <w:sz w:val="20"/>
          <w:szCs w:val="20"/>
        </w:rPr>
        <w:t>The priority of frequency layer which could covered by SMTC window after SMTC adjustment</w:t>
      </w:r>
    </w:p>
    <w:p>
      <w:pPr>
        <w:spacing w:after="60"/>
        <w:jc w:val="both"/>
        <w:rPr>
          <w:sz w:val="20"/>
          <w:szCs w:val="20"/>
        </w:rPr>
      </w:pPr>
      <w:r>
        <w:rPr>
          <w:rFonts w:hint="eastAsia"/>
          <w:sz w:val="20"/>
          <w:szCs w:val="20"/>
        </w:rPr>
        <w:t>Considering there are many factors may affect UE</w:t>
      </w:r>
      <w:r>
        <w:rPr>
          <w:sz w:val="20"/>
          <w:szCs w:val="20"/>
        </w:rPr>
        <w:t>’</w:t>
      </w:r>
      <w:r>
        <w:rPr>
          <w:rFonts w:hint="eastAsia"/>
          <w:sz w:val="20"/>
          <w:szCs w:val="20"/>
        </w:rPr>
        <w:t>s behaviour, we think it is hard to define an explicit UE requirement/behaviour, Option A is the more feasible method.</w:t>
      </w:r>
    </w:p>
    <w:p>
      <w:pPr>
        <w:jc w:val="both"/>
        <w:rPr>
          <w:rFonts w:eastAsia="宋体"/>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10</w:t>
      </w:r>
      <w:r>
        <w:rPr>
          <w:rFonts w:eastAsia="等线"/>
          <w:b/>
          <w:bCs/>
          <w:i/>
          <w:iCs/>
          <w:sz w:val="20"/>
          <w:szCs w:val="20"/>
        </w:rPr>
        <w:t xml:space="preserve">: </w:t>
      </w:r>
      <w:r>
        <w:rPr>
          <w:rFonts w:hint="eastAsia" w:eastAsia="等线"/>
          <w:b/>
          <w:bCs/>
          <w:i/>
          <w:iCs/>
          <w:sz w:val="20"/>
          <w:szCs w:val="20"/>
        </w:rPr>
        <w:t>It is up to UE implementation of how to autonomously adjust the SMTC in the time domain and which cell(s)/satellite to measure.</w:t>
      </w:r>
    </w:p>
    <w:p>
      <w:pPr>
        <w:pStyle w:val="75"/>
        <w:numPr>
          <w:ilvl w:val="0"/>
          <w:numId w:val="3"/>
        </w:numPr>
        <w:ind w:firstLineChars="0"/>
        <w:rPr>
          <w:rFonts w:cs="Times New Roman" w:eastAsiaTheme="minorEastAsia"/>
          <w:sz w:val="36"/>
          <w:szCs w:val="36"/>
        </w:rPr>
      </w:pPr>
      <w:r>
        <w:rPr>
          <w:rFonts w:cs="Times New Roman" w:eastAsiaTheme="minorEastAsia"/>
          <w:sz w:val="36"/>
          <w:szCs w:val="36"/>
          <w:lang w:eastAsia="ja-JP"/>
        </w:rPr>
        <w:t>Connected mode mobility enhancements</w:t>
      </w:r>
    </w:p>
    <w:p>
      <w:pPr>
        <w:outlineLvl w:val="2"/>
        <w:rPr>
          <w:b/>
          <w:i/>
          <w:iCs/>
          <w:sz w:val="20"/>
          <w:szCs w:val="20"/>
          <w:u w:val="single"/>
          <w:lang w:eastAsia="ko-KR"/>
        </w:rPr>
      </w:pPr>
      <w:r>
        <w:rPr>
          <w:b/>
          <w:i/>
          <w:iCs/>
          <w:sz w:val="20"/>
          <w:szCs w:val="20"/>
          <w:u w:val="single"/>
          <w:lang w:eastAsia="ko-KR"/>
        </w:rPr>
        <w:t>Issue 4-1: RACH-less (C)HO</w:t>
      </w:r>
    </w:p>
    <w:p>
      <w:pPr>
        <w:spacing w:line="252" w:lineRule="auto"/>
        <w:rPr>
          <w:b/>
          <w:bCs/>
          <w:i/>
          <w:iCs/>
          <w:sz w:val="20"/>
          <w:szCs w:val="20"/>
          <w:lang w:eastAsia="ja-JP"/>
        </w:rPr>
      </w:pPr>
      <w:r>
        <w:rPr>
          <w:b/>
          <w:bCs/>
          <w:i/>
          <w:iCs/>
          <w:sz w:val="20"/>
          <w:szCs w:val="20"/>
          <w:lang w:eastAsia="ja-JP"/>
        </w:rPr>
        <w:t>FFS:</w:t>
      </w:r>
    </w:p>
    <w:p>
      <w:pPr>
        <w:pStyle w:val="75"/>
        <w:numPr>
          <w:ilvl w:val="0"/>
          <w:numId w:val="4"/>
        </w:numPr>
        <w:ind w:left="852" w:hanging="568" w:firstLineChars="0"/>
        <w:rPr>
          <w:i/>
          <w:iCs/>
          <w:sz w:val="20"/>
          <w:szCs w:val="20"/>
          <w:lang w:eastAsia="ja-JP"/>
        </w:rPr>
      </w:pPr>
      <w:r>
        <w:rPr>
          <w:i/>
          <w:iCs/>
          <w:sz w:val="20"/>
          <w:szCs w:val="20"/>
          <w:lang w:eastAsia="ja-JP"/>
        </w:rPr>
        <w:t>RACH-less handover delay requirement consists of ‘RRC procedure delay + Interruption time,’ i.e. = T</w:t>
      </w:r>
      <w:r>
        <w:rPr>
          <w:i/>
          <w:iCs/>
          <w:sz w:val="20"/>
          <w:szCs w:val="20"/>
          <w:vertAlign w:val="subscript"/>
          <w:lang w:eastAsia="ja-JP"/>
        </w:rPr>
        <w:t>RRC</w:t>
      </w:r>
      <w:r>
        <w:rPr>
          <w:i/>
          <w:iCs/>
          <w:sz w:val="20"/>
          <w:szCs w:val="20"/>
          <w:lang w:eastAsia="ja-JP"/>
        </w:rPr>
        <w:t xml:space="preserve"> + T</w:t>
      </w:r>
      <w:r>
        <w:rPr>
          <w:i/>
          <w:iCs/>
          <w:sz w:val="20"/>
          <w:szCs w:val="20"/>
          <w:vertAlign w:val="subscript"/>
          <w:lang w:eastAsia="ja-JP"/>
        </w:rPr>
        <w:t>Interrupt</w:t>
      </w:r>
      <w:r>
        <w:rPr>
          <w:i/>
          <w:iCs/>
          <w:sz w:val="20"/>
          <w:szCs w:val="20"/>
          <w:lang w:eastAsia="ja-JP"/>
        </w:rPr>
        <w:t>, where  T</w:t>
      </w:r>
      <w:r>
        <w:rPr>
          <w:i/>
          <w:iCs/>
          <w:sz w:val="20"/>
          <w:szCs w:val="20"/>
          <w:vertAlign w:val="subscript"/>
          <w:lang w:eastAsia="ja-JP"/>
        </w:rPr>
        <w:t>Interrupt</w:t>
      </w:r>
      <w:r>
        <w:rPr>
          <w:i/>
          <w:iCs/>
          <w:sz w:val="20"/>
          <w:szCs w:val="20"/>
          <w:lang w:eastAsia="ja-JP"/>
        </w:rPr>
        <w:t xml:space="preserve"> = T</w:t>
      </w:r>
      <w:r>
        <w:rPr>
          <w:i/>
          <w:iCs/>
          <w:sz w:val="20"/>
          <w:szCs w:val="20"/>
          <w:vertAlign w:val="subscript"/>
          <w:lang w:eastAsia="ja-JP"/>
        </w:rPr>
        <w:t>processing</w:t>
      </w:r>
      <w:r>
        <w:rPr>
          <w:i/>
          <w:iCs/>
          <w:sz w:val="20"/>
          <w:szCs w:val="20"/>
          <w:lang w:eastAsia="ja-JP"/>
        </w:rPr>
        <w:t xml:space="preserve"> + T</w:t>
      </w:r>
      <w:r>
        <w:rPr>
          <w:i/>
          <w:iCs/>
          <w:sz w:val="20"/>
          <w:szCs w:val="20"/>
          <w:vertAlign w:val="subscript"/>
          <w:lang w:eastAsia="ja-JP"/>
        </w:rPr>
        <w:t>search</w:t>
      </w:r>
      <w:r>
        <w:rPr>
          <w:i/>
          <w:iCs/>
          <w:sz w:val="20"/>
          <w:szCs w:val="20"/>
          <w:lang w:eastAsia="ja-JP"/>
        </w:rPr>
        <w:t xml:space="preserve"> + T</w:t>
      </w:r>
      <w:r>
        <w:rPr>
          <w:i/>
          <w:iCs/>
          <w:sz w:val="20"/>
          <w:szCs w:val="20"/>
          <w:vertAlign w:val="subscript"/>
          <w:lang w:eastAsia="ja-JP"/>
        </w:rPr>
        <w:t>∆</w:t>
      </w:r>
      <w:r>
        <w:rPr>
          <w:i/>
          <w:iCs/>
          <w:sz w:val="20"/>
          <w:szCs w:val="20"/>
          <w:lang w:eastAsia="ja-JP"/>
        </w:rPr>
        <w:t xml:space="preserve"> + T</w:t>
      </w:r>
      <w:r>
        <w:rPr>
          <w:i/>
          <w:iCs/>
          <w:sz w:val="20"/>
          <w:szCs w:val="20"/>
          <w:vertAlign w:val="subscript"/>
          <w:lang w:eastAsia="ja-JP"/>
        </w:rPr>
        <w:t>margin</w:t>
      </w:r>
      <w:r>
        <w:rPr>
          <w:i/>
          <w:iCs/>
          <w:sz w:val="20"/>
          <w:szCs w:val="20"/>
          <w:lang w:eastAsia="ja-JP"/>
        </w:rPr>
        <w:t xml:space="preserve"> + T</w:t>
      </w:r>
      <w:r>
        <w:rPr>
          <w:i/>
          <w:iCs/>
          <w:sz w:val="20"/>
          <w:szCs w:val="20"/>
          <w:vertAlign w:val="subscript"/>
          <w:lang w:eastAsia="ja-JP"/>
        </w:rPr>
        <w:t>IU</w:t>
      </w:r>
      <w:r>
        <w:rPr>
          <w:i/>
          <w:iCs/>
          <w:sz w:val="20"/>
          <w:szCs w:val="20"/>
          <w:lang w:eastAsia="ja-JP"/>
        </w:rPr>
        <w:t>.</w:t>
      </w:r>
    </w:p>
    <w:p>
      <w:pPr>
        <w:pStyle w:val="75"/>
        <w:numPr>
          <w:ilvl w:val="1"/>
          <w:numId w:val="4"/>
        </w:numPr>
        <w:ind w:left="1272" w:hanging="568" w:firstLineChars="0"/>
        <w:rPr>
          <w:i/>
          <w:iCs/>
          <w:sz w:val="20"/>
          <w:szCs w:val="20"/>
          <w:lang w:eastAsia="ja-JP"/>
        </w:rPr>
      </w:pPr>
      <w:r>
        <w:rPr>
          <w:i/>
          <w:iCs/>
          <w:sz w:val="20"/>
          <w:szCs w:val="20"/>
          <w:lang w:eastAsia="ja-JP"/>
        </w:rPr>
        <w:t>T</w:t>
      </w:r>
      <w:r>
        <w:rPr>
          <w:i/>
          <w:iCs/>
          <w:sz w:val="20"/>
          <w:szCs w:val="20"/>
          <w:vertAlign w:val="subscript"/>
          <w:lang w:eastAsia="ja-JP"/>
        </w:rPr>
        <w:t>search</w:t>
      </w:r>
      <w:r>
        <w:rPr>
          <w:i/>
          <w:iCs/>
          <w:sz w:val="20"/>
          <w:szCs w:val="20"/>
          <w:lang w:eastAsia="ja-JP"/>
        </w:rPr>
        <w:t xml:space="preserve">: the definition and values are the same as that in 6.1C.1.2.2 in NTN HO. </w:t>
      </w:r>
    </w:p>
    <w:p>
      <w:pPr>
        <w:pStyle w:val="75"/>
        <w:numPr>
          <w:ilvl w:val="1"/>
          <w:numId w:val="4"/>
        </w:numPr>
        <w:ind w:left="1272" w:hanging="568" w:firstLineChars="0"/>
        <w:rPr>
          <w:i/>
          <w:iCs/>
          <w:sz w:val="20"/>
          <w:szCs w:val="20"/>
          <w:lang w:eastAsia="ja-JP"/>
        </w:rPr>
      </w:pPr>
      <w:r>
        <w:rPr>
          <w:i/>
          <w:iCs/>
          <w:sz w:val="20"/>
          <w:szCs w:val="20"/>
          <w:lang w:eastAsia="ja-JP"/>
        </w:rPr>
        <w:t>T</w:t>
      </w:r>
      <w:r>
        <w:rPr>
          <w:i/>
          <w:iCs/>
          <w:sz w:val="20"/>
          <w:szCs w:val="20"/>
          <w:vertAlign w:val="subscript"/>
          <w:lang w:eastAsia="ja-JP"/>
        </w:rPr>
        <w:t>processing</w:t>
      </w:r>
      <w:r>
        <w:rPr>
          <w:i/>
          <w:iCs/>
          <w:sz w:val="20"/>
          <w:szCs w:val="20"/>
          <w:lang w:eastAsia="ja-JP"/>
        </w:rPr>
        <w:t>: the definition and values are the same as that in 6.1C.1.2.2 in NTN HO.</w:t>
      </w:r>
    </w:p>
    <w:p>
      <w:pPr>
        <w:pStyle w:val="75"/>
        <w:numPr>
          <w:ilvl w:val="1"/>
          <w:numId w:val="4"/>
        </w:numPr>
        <w:ind w:left="1272" w:hanging="568" w:firstLineChars="0"/>
        <w:rPr>
          <w:i/>
          <w:iCs/>
          <w:sz w:val="20"/>
          <w:szCs w:val="20"/>
          <w:lang w:eastAsia="ja-JP"/>
        </w:rPr>
      </w:pPr>
      <w:r>
        <w:rPr>
          <w:i/>
          <w:iCs/>
          <w:sz w:val="20"/>
          <w:szCs w:val="20"/>
          <w:lang w:eastAsia="ja-JP"/>
        </w:rPr>
        <w:t>T</w:t>
      </w:r>
      <w:r>
        <w:rPr>
          <w:i/>
          <w:iCs/>
          <w:sz w:val="20"/>
          <w:szCs w:val="20"/>
          <w:vertAlign w:val="subscript"/>
          <w:lang w:eastAsia="ja-JP"/>
        </w:rPr>
        <w:t>∆</w:t>
      </w:r>
      <w:r>
        <w:rPr>
          <w:i/>
          <w:iCs/>
          <w:sz w:val="20"/>
          <w:szCs w:val="20"/>
          <w:lang w:eastAsia="ja-JP"/>
        </w:rPr>
        <w:t>: the definition and values are the same as that in 6.1C.1.2.2 in NTN HO.</w:t>
      </w:r>
    </w:p>
    <w:p>
      <w:pPr>
        <w:pStyle w:val="75"/>
        <w:numPr>
          <w:ilvl w:val="1"/>
          <w:numId w:val="4"/>
        </w:numPr>
        <w:ind w:left="1272" w:hanging="568" w:firstLineChars="0"/>
        <w:rPr>
          <w:i/>
          <w:iCs/>
          <w:sz w:val="20"/>
          <w:szCs w:val="20"/>
          <w:lang w:eastAsia="ja-JP"/>
        </w:rPr>
      </w:pPr>
      <w:r>
        <w:rPr>
          <w:i/>
          <w:iCs/>
          <w:sz w:val="20"/>
          <w:szCs w:val="20"/>
          <w:lang w:eastAsia="ja-JP"/>
        </w:rPr>
        <w:t>T</w:t>
      </w:r>
      <w:r>
        <w:rPr>
          <w:i/>
          <w:iCs/>
          <w:sz w:val="20"/>
          <w:szCs w:val="20"/>
          <w:vertAlign w:val="subscript"/>
          <w:lang w:eastAsia="ja-JP"/>
        </w:rPr>
        <w:t>margin</w:t>
      </w:r>
      <w:r>
        <w:rPr>
          <w:i/>
          <w:iCs/>
          <w:sz w:val="20"/>
          <w:szCs w:val="20"/>
          <w:lang w:eastAsia="ja-JP"/>
        </w:rPr>
        <w:t>: the definition and values are the same as that in 6.1C.1.2.2 in NTN HO.</w:t>
      </w:r>
    </w:p>
    <w:p>
      <w:pPr>
        <w:pStyle w:val="75"/>
        <w:numPr>
          <w:ilvl w:val="1"/>
          <w:numId w:val="4"/>
        </w:numPr>
        <w:ind w:left="1272" w:hanging="568" w:firstLineChars="0"/>
        <w:rPr>
          <w:i/>
          <w:iCs/>
          <w:sz w:val="20"/>
          <w:szCs w:val="20"/>
          <w:lang w:eastAsia="ja-JP"/>
        </w:rPr>
      </w:pPr>
      <w:r>
        <w:rPr>
          <w:i/>
          <w:iCs/>
          <w:sz w:val="20"/>
          <w:szCs w:val="20"/>
          <w:lang w:eastAsia="ja-JP"/>
        </w:rPr>
        <w:t>T</w:t>
      </w:r>
      <w:r>
        <w:rPr>
          <w:i/>
          <w:iCs/>
          <w:sz w:val="20"/>
          <w:szCs w:val="20"/>
          <w:vertAlign w:val="subscript"/>
          <w:lang w:eastAsia="ja-JP"/>
        </w:rPr>
        <w:t>IU</w:t>
      </w:r>
      <w:r>
        <w:rPr>
          <w:i/>
          <w:iCs/>
          <w:sz w:val="20"/>
          <w:szCs w:val="20"/>
          <w:lang w:eastAsia="ja-JP"/>
        </w:rPr>
        <w:t xml:space="preserve"> is the interruption uncertainty in acquiring the first UL transmission resource which can be, e.g. a configured grant based PUSCH, dynamic grant based PUSCH, or SR on PUCCH, if supported by RAN2 decision.</w:t>
      </w:r>
    </w:p>
    <w:p>
      <w:pPr>
        <w:pStyle w:val="75"/>
        <w:numPr>
          <w:ilvl w:val="1"/>
          <w:numId w:val="4"/>
        </w:numPr>
        <w:ind w:left="1272" w:hanging="568" w:firstLineChars="0"/>
        <w:rPr>
          <w:i/>
          <w:iCs/>
          <w:sz w:val="20"/>
          <w:szCs w:val="20"/>
          <w:lang w:eastAsia="ja-JP"/>
        </w:rPr>
      </w:pPr>
      <w:r>
        <w:rPr>
          <w:i/>
          <w:iCs/>
          <w:sz w:val="20"/>
          <w:szCs w:val="20"/>
          <w:lang w:eastAsia="ja-JP"/>
        </w:rPr>
        <w:t>The requirement is applicable only when the UE is provided with all essential information of the target satellite as the existing NTN handover requirement, i.e.</w:t>
      </w:r>
    </w:p>
    <w:p>
      <w:pPr>
        <w:pStyle w:val="75"/>
        <w:numPr>
          <w:ilvl w:val="2"/>
          <w:numId w:val="4"/>
        </w:numPr>
        <w:ind w:left="1692" w:hanging="568" w:firstLineChars="0"/>
        <w:rPr>
          <w:i/>
          <w:iCs/>
          <w:sz w:val="20"/>
          <w:szCs w:val="20"/>
          <w:lang w:eastAsia="ja-JP"/>
        </w:rPr>
      </w:pPr>
      <w:r>
        <w:rPr>
          <w:i/>
          <w:iCs/>
          <w:sz w:val="20"/>
          <w:szCs w:val="20"/>
          <w:lang w:eastAsia="ja-JP"/>
        </w:rPr>
        <w:t>(from 6.1C.1.2 of TS38.133) The requirements apply provided that UE has the valid and applicable parameters of ephemeris information, common TA, DL and UL Polarization information, K offset , and K mac  for target NR SAN cell during D handover, otherwise interruption time may be longer than the requirements in clause 6.1C.1.2.2.</w:t>
      </w:r>
    </w:p>
    <w:p>
      <w:pPr>
        <w:pStyle w:val="75"/>
        <w:numPr>
          <w:ilvl w:val="1"/>
          <w:numId w:val="4"/>
        </w:numPr>
        <w:ind w:left="1272" w:hanging="568" w:firstLineChars="0"/>
        <w:rPr>
          <w:i/>
          <w:iCs/>
          <w:sz w:val="20"/>
          <w:szCs w:val="20"/>
          <w:lang w:eastAsia="ja-JP"/>
        </w:rPr>
      </w:pPr>
      <w:r>
        <w:rPr>
          <w:i/>
          <w:iCs/>
          <w:sz w:val="20"/>
          <w:szCs w:val="20"/>
          <w:lang w:eastAsia="ja-JP"/>
        </w:rPr>
        <w:t xml:space="preserve">The requirement applies to </w:t>
      </w:r>
    </w:p>
    <w:p>
      <w:pPr>
        <w:pStyle w:val="75"/>
        <w:numPr>
          <w:ilvl w:val="2"/>
          <w:numId w:val="4"/>
        </w:numPr>
        <w:ind w:left="1692" w:hanging="568" w:firstLineChars="0"/>
        <w:rPr>
          <w:i/>
          <w:iCs/>
          <w:sz w:val="20"/>
          <w:szCs w:val="20"/>
          <w:lang w:eastAsia="ja-JP"/>
        </w:rPr>
      </w:pPr>
      <w:r>
        <w:rPr>
          <w:i/>
          <w:iCs/>
          <w:sz w:val="20"/>
          <w:szCs w:val="20"/>
          <w:lang w:eastAsia="ja-JP"/>
        </w:rPr>
        <w:t>both known and unknown cases</w:t>
      </w:r>
    </w:p>
    <w:p>
      <w:pPr>
        <w:pStyle w:val="75"/>
        <w:numPr>
          <w:ilvl w:val="2"/>
          <w:numId w:val="4"/>
        </w:numPr>
        <w:ind w:left="1692" w:hanging="568" w:firstLineChars="0"/>
        <w:rPr>
          <w:i/>
          <w:iCs/>
          <w:sz w:val="20"/>
          <w:szCs w:val="20"/>
          <w:lang w:eastAsia="ja-JP"/>
        </w:rPr>
      </w:pPr>
      <w:r>
        <w:rPr>
          <w:i/>
          <w:iCs/>
          <w:sz w:val="20"/>
          <w:szCs w:val="20"/>
          <w:lang w:eastAsia="ja-JP"/>
        </w:rPr>
        <w:t>both intra-satellite and inter-satellite handover cases</w:t>
      </w:r>
    </w:p>
    <w:p>
      <w:pPr>
        <w:pStyle w:val="75"/>
        <w:numPr>
          <w:ilvl w:val="2"/>
          <w:numId w:val="4"/>
        </w:numPr>
        <w:ind w:left="1692" w:hanging="568" w:firstLineChars="0"/>
        <w:rPr>
          <w:i/>
          <w:iCs/>
          <w:sz w:val="20"/>
          <w:szCs w:val="20"/>
          <w:lang w:eastAsia="ja-JP"/>
        </w:rPr>
      </w:pPr>
      <w:r>
        <w:rPr>
          <w:i/>
          <w:iCs/>
          <w:sz w:val="20"/>
          <w:szCs w:val="20"/>
          <w:lang w:eastAsia="ja-JP"/>
        </w:rPr>
        <w:t>both intra-frequency and inter-frequency target cell cases</w:t>
      </w:r>
    </w:p>
    <w:p>
      <w:pPr>
        <w:jc w:val="both"/>
        <w:rPr>
          <w:sz w:val="20"/>
          <w:szCs w:val="20"/>
        </w:rPr>
      </w:pPr>
      <w:r>
        <w:rPr>
          <w:rFonts w:hint="eastAsia"/>
          <w:sz w:val="20"/>
          <w:szCs w:val="20"/>
        </w:rPr>
        <w:t>Based on RAN2</w:t>
      </w:r>
      <w:r>
        <w:rPr>
          <w:sz w:val="20"/>
          <w:szCs w:val="20"/>
        </w:rPr>
        <w:t>’</w:t>
      </w:r>
      <w:r>
        <w:rPr>
          <w:rFonts w:hint="eastAsia"/>
          <w:sz w:val="20"/>
          <w:szCs w:val="20"/>
        </w:rPr>
        <w:t>s discussion so far, the UL transmission resource could be acquired by pre-allocated UL grant and dynamic UL grant. Therefore, T</w:t>
      </w:r>
      <w:r>
        <w:rPr>
          <w:rFonts w:hint="eastAsia"/>
          <w:sz w:val="20"/>
          <w:szCs w:val="20"/>
          <w:vertAlign w:val="subscript"/>
        </w:rPr>
        <w:t>IU</w:t>
      </w:r>
      <w:r>
        <w:rPr>
          <w:rFonts w:hint="eastAsia"/>
          <w:sz w:val="20"/>
          <w:szCs w:val="20"/>
        </w:rPr>
        <w:t xml:space="preserve"> is the interruption uncertainty in acquiring the first UL transmission resource which can be a configured grant based PUSCH and a dynamic grant based PUSCH</w:t>
      </w:r>
    </w:p>
    <w:p>
      <w:pPr>
        <w:spacing w:before="60" w:after="60"/>
        <w:jc w:val="both"/>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11</w:t>
      </w:r>
      <w:r>
        <w:rPr>
          <w:b/>
          <w:bCs/>
          <w:i/>
          <w:iCs/>
          <w:sz w:val="20"/>
          <w:szCs w:val="20"/>
        </w:rPr>
        <w:t xml:space="preserve">: For RACH-less HO, </w:t>
      </w:r>
      <w:r>
        <w:rPr>
          <w:rFonts w:hint="eastAsia"/>
          <w:b/>
          <w:bCs/>
          <w:i/>
          <w:iCs/>
          <w:sz w:val="20"/>
          <w:szCs w:val="20"/>
        </w:rPr>
        <w:t>T</w:t>
      </w:r>
      <w:r>
        <w:rPr>
          <w:rFonts w:hint="eastAsia"/>
          <w:b/>
          <w:bCs/>
          <w:i/>
          <w:iCs/>
          <w:sz w:val="20"/>
          <w:szCs w:val="20"/>
          <w:vertAlign w:val="subscript"/>
        </w:rPr>
        <w:t>IU</w:t>
      </w:r>
      <w:r>
        <w:rPr>
          <w:rFonts w:hint="eastAsia"/>
          <w:b/>
          <w:bCs/>
          <w:i/>
          <w:iCs/>
          <w:sz w:val="20"/>
          <w:szCs w:val="20"/>
        </w:rPr>
        <w:t xml:space="preserve"> is the interruption uncertainty in acquiring the first UL transmission resource which can be a configured grant based PUSCH and a dynamic grant based PUSCH.</w:t>
      </w:r>
    </w:p>
    <w:p>
      <w:pPr>
        <w:spacing w:before="60" w:after="60"/>
        <w:rPr>
          <w:b/>
          <w:bCs/>
          <w:i/>
          <w:iCs/>
          <w:sz w:val="20"/>
          <w:szCs w:val="20"/>
        </w:rPr>
      </w:pPr>
    </w:p>
    <w:p>
      <w:pPr>
        <w:outlineLvl w:val="2"/>
        <w:rPr>
          <w:b/>
          <w:i/>
          <w:iCs/>
          <w:sz w:val="20"/>
          <w:szCs w:val="20"/>
          <w:u w:val="single"/>
          <w:lang w:eastAsia="ko-KR"/>
        </w:rPr>
      </w:pPr>
      <w:r>
        <w:rPr>
          <w:b/>
          <w:i/>
          <w:iCs/>
          <w:sz w:val="20"/>
          <w:szCs w:val="20"/>
          <w:u w:val="single"/>
          <w:lang w:eastAsia="ko-KR"/>
        </w:rPr>
        <w:t>Issue 4-2: Satellite switching without PCI change</w:t>
      </w:r>
    </w:p>
    <w:p>
      <w:pPr>
        <w:spacing w:line="252" w:lineRule="auto"/>
        <w:rPr>
          <w:b/>
          <w:bCs/>
          <w:i/>
          <w:iCs/>
          <w:sz w:val="20"/>
          <w:szCs w:val="20"/>
          <w:lang w:eastAsia="ja-JP"/>
        </w:rPr>
      </w:pPr>
      <w:r>
        <w:rPr>
          <w:b/>
          <w:bCs/>
          <w:i/>
          <w:iCs/>
          <w:sz w:val="20"/>
          <w:szCs w:val="20"/>
          <w:lang w:eastAsia="ja-JP"/>
        </w:rPr>
        <w:t>Agreement:</w:t>
      </w:r>
    </w:p>
    <w:p>
      <w:pPr>
        <w:pStyle w:val="75"/>
        <w:numPr>
          <w:ilvl w:val="0"/>
          <w:numId w:val="4"/>
        </w:numPr>
        <w:ind w:left="852" w:hanging="568" w:firstLineChars="0"/>
        <w:rPr>
          <w:i/>
          <w:iCs/>
          <w:sz w:val="20"/>
          <w:szCs w:val="20"/>
        </w:rPr>
      </w:pPr>
      <w:r>
        <w:rPr>
          <w:i/>
          <w:iCs/>
          <w:sz w:val="20"/>
          <w:szCs w:val="20"/>
        </w:rPr>
        <w:t>Define UE requirements on delay and interruption upon ‘satellite switching without PCI change’ at least for hard switch scenario. Further study the following, based on further progress from RAN2.</w:t>
      </w:r>
    </w:p>
    <w:p>
      <w:pPr>
        <w:pStyle w:val="75"/>
        <w:numPr>
          <w:ilvl w:val="1"/>
          <w:numId w:val="4"/>
        </w:numPr>
        <w:ind w:left="1272" w:hanging="568" w:firstLineChars="0"/>
        <w:rPr>
          <w:i/>
          <w:iCs/>
          <w:sz w:val="20"/>
          <w:szCs w:val="20"/>
        </w:rPr>
      </w:pPr>
      <w:r>
        <w:rPr>
          <w:i/>
          <w:iCs/>
          <w:sz w:val="20"/>
          <w:szCs w:val="20"/>
        </w:rPr>
        <w:t xml:space="preserve">Starting point of the delay and interruption </w:t>
      </w:r>
    </w:p>
    <w:p>
      <w:pPr>
        <w:pStyle w:val="75"/>
        <w:numPr>
          <w:ilvl w:val="1"/>
          <w:numId w:val="4"/>
        </w:numPr>
        <w:ind w:left="1272" w:hanging="568" w:firstLineChars="0"/>
        <w:rPr>
          <w:i/>
          <w:iCs/>
          <w:sz w:val="20"/>
          <w:szCs w:val="20"/>
        </w:rPr>
      </w:pPr>
      <w:r>
        <w:rPr>
          <w:i/>
          <w:iCs/>
          <w:sz w:val="20"/>
          <w:szCs w:val="20"/>
        </w:rPr>
        <w:t>Values of the components in the delay and interruption, such as ‘UE processing time’,</w:t>
      </w:r>
      <w:r>
        <w:rPr>
          <w:i/>
          <w:iCs/>
          <w:sz w:val="20"/>
          <w:szCs w:val="20"/>
          <w:lang w:eastAsia="ja-JP"/>
        </w:rPr>
        <w:t xml:space="preserve"> </w:t>
      </w:r>
      <w:r>
        <w:rPr>
          <w:i/>
          <w:iCs/>
          <w:sz w:val="20"/>
          <w:szCs w:val="20"/>
        </w:rPr>
        <w:t>‘search time for target satellite’ and other delay components if relevant and required.</w:t>
      </w:r>
    </w:p>
    <w:p>
      <w:pPr>
        <w:pStyle w:val="75"/>
        <w:numPr>
          <w:ilvl w:val="1"/>
          <w:numId w:val="4"/>
        </w:numPr>
        <w:ind w:left="1272" w:hanging="568" w:firstLineChars="0"/>
        <w:rPr>
          <w:i/>
          <w:iCs/>
          <w:sz w:val="20"/>
          <w:szCs w:val="20"/>
        </w:rPr>
      </w:pPr>
      <w:r>
        <w:rPr>
          <w:i/>
          <w:iCs/>
          <w:sz w:val="20"/>
          <w:szCs w:val="20"/>
        </w:rPr>
        <w:t>During the interruption period, whether the UE is required to monitor [serving cells/satellites and/or] neighbour cells/satellites</w:t>
      </w:r>
    </w:p>
    <w:p>
      <w:pPr>
        <w:pStyle w:val="75"/>
        <w:numPr>
          <w:ilvl w:val="1"/>
          <w:numId w:val="4"/>
        </w:numPr>
        <w:ind w:left="1272" w:hanging="568" w:firstLineChars="0"/>
        <w:rPr>
          <w:i/>
          <w:iCs/>
          <w:sz w:val="20"/>
          <w:szCs w:val="20"/>
        </w:rPr>
      </w:pPr>
      <w:r>
        <w:rPr>
          <w:i/>
          <w:iCs/>
          <w:sz w:val="20"/>
          <w:szCs w:val="20"/>
        </w:rPr>
        <w:t>Note that the above requirement can be extended to RRC idle/inactive mode. The details will be discussed when the group gets more clarity on the whole framework in detail from RAN2.</w:t>
      </w:r>
    </w:p>
    <w:p>
      <w:pPr>
        <w:rPr>
          <w:sz w:val="20"/>
          <w:szCs w:val="20"/>
        </w:rPr>
      </w:pPr>
      <w:r>
        <w:rPr>
          <w:rFonts w:hint="eastAsia"/>
          <w:sz w:val="20"/>
          <w:szCs w:val="20"/>
        </w:rPr>
        <w:t>In last meeting, RAN2 achieved following agreements: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sz w:val="20"/>
                <w:szCs w:val="20"/>
                <w:lang w:val="en-GB"/>
              </w:rPr>
            </w:pPr>
            <w:r>
              <w:rPr>
                <w:rFonts w:hint="eastAsia"/>
                <w:sz w:val="20"/>
                <w:szCs w:val="20"/>
                <w:lang w:val="en-GB"/>
              </w:rPr>
              <w:t>Agreements:</w:t>
            </w:r>
          </w:p>
          <w:p>
            <w:pPr>
              <w:numPr>
                <w:ilvl w:val="0"/>
                <w:numId w:val="7"/>
              </w:numPr>
              <w:rPr>
                <w:sz w:val="20"/>
                <w:szCs w:val="20"/>
                <w:lang w:val="en-GB"/>
              </w:rPr>
            </w:pPr>
            <w:r>
              <w:rPr>
                <w:rFonts w:hint="eastAsia"/>
                <w:sz w:val="20"/>
                <w:szCs w:val="20"/>
              </w:rPr>
              <w:t xml:space="preserve"> </w:t>
            </w:r>
            <w:r>
              <w:rPr>
                <w:rFonts w:hint="eastAsia"/>
                <w:sz w:val="20"/>
                <w:szCs w:val="20"/>
                <w:lang w:val="en-GB"/>
              </w:rPr>
              <w:t>An explicit indication will be introduced to enable the unchanged PCI switch</w:t>
            </w:r>
          </w:p>
          <w:p>
            <w:pPr>
              <w:numPr>
                <w:ilvl w:val="0"/>
                <w:numId w:val="7"/>
              </w:numPr>
              <w:rPr>
                <w:sz w:val="20"/>
                <w:szCs w:val="20"/>
                <w:lang w:val="en-GB"/>
              </w:rPr>
            </w:pPr>
            <w:r>
              <w:rPr>
                <w:rFonts w:hint="eastAsia"/>
                <w:sz w:val="20"/>
                <w:szCs w:val="20"/>
              </w:rPr>
              <w:t xml:space="preserve"> </w:t>
            </w:r>
            <w:r>
              <w:rPr>
                <w:rFonts w:hint="eastAsia"/>
                <w:sz w:val="20"/>
                <w:szCs w:val="20"/>
                <w:lang w:val="en-GB"/>
              </w:rPr>
              <w:t>The unchanged PCI mechanism can be applied to the case where the coverage gap is zero or negligible (where there is no need to introduce t-gap or t-start). FFS whether we need to support scenarios that require the introduction of t-gap or t-start</w:t>
            </w:r>
          </w:p>
          <w:p>
            <w:pPr>
              <w:numPr>
                <w:ilvl w:val="0"/>
                <w:numId w:val="7"/>
              </w:numPr>
              <w:rPr>
                <w:sz w:val="20"/>
                <w:szCs w:val="20"/>
                <w:lang w:val="en-GB"/>
              </w:rPr>
            </w:pPr>
            <w:r>
              <w:rPr>
                <w:rFonts w:hint="eastAsia"/>
                <w:sz w:val="20"/>
                <w:szCs w:val="20"/>
              </w:rPr>
              <w:t xml:space="preserve"> </w:t>
            </w:r>
            <w:r>
              <w:rPr>
                <w:rFonts w:hint="eastAsia"/>
                <w:sz w:val="20"/>
                <w:szCs w:val="20"/>
                <w:lang w:val="en-GB"/>
              </w:rPr>
              <w:t>PCI unchanged procedure can be performed without performing RACH</w:t>
            </w:r>
          </w:p>
          <w:p>
            <w:pPr>
              <w:numPr>
                <w:ilvl w:val="0"/>
                <w:numId w:val="7"/>
              </w:numPr>
              <w:rPr>
                <w:sz w:val="20"/>
                <w:szCs w:val="20"/>
                <w:lang w:val="en-GB"/>
              </w:rPr>
            </w:pPr>
            <w:r>
              <w:rPr>
                <w:rFonts w:hint="eastAsia"/>
                <w:sz w:val="20"/>
                <w:szCs w:val="20"/>
              </w:rPr>
              <w:t xml:space="preserve"> </w:t>
            </w:r>
            <w:r>
              <w:rPr>
                <w:rFonts w:hint="eastAsia"/>
                <w:sz w:val="20"/>
                <w:szCs w:val="20"/>
                <w:lang w:val="en-GB"/>
              </w:rPr>
              <w:t>In the unchanged PCI case, the UE considers UL synchronization timer expired at t-Service (current cell stop time) to stop any UL operation. FFS on timeAlignmentTimer handling.</w:t>
            </w:r>
          </w:p>
          <w:p>
            <w:pPr>
              <w:numPr>
                <w:ilvl w:val="0"/>
                <w:numId w:val="7"/>
              </w:numPr>
              <w:rPr>
                <w:sz w:val="20"/>
                <w:szCs w:val="20"/>
                <w:lang w:val="en-GB"/>
              </w:rPr>
            </w:pPr>
            <w:r>
              <w:rPr>
                <w:rFonts w:hint="eastAsia"/>
                <w:sz w:val="20"/>
                <w:szCs w:val="20"/>
              </w:rPr>
              <w:t xml:space="preserve"> </w:t>
            </w:r>
            <w:r>
              <w:rPr>
                <w:rFonts w:hint="eastAsia"/>
                <w:sz w:val="20"/>
                <w:szCs w:val="20"/>
                <w:lang w:val="en-GB"/>
              </w:rPr>
              <w:t>In the unchanged PCI case, for RACH-based solution, the UE may trigger RACH immediately after DL synchronizing with the new satellite</w:t>
            </w:r>
          </w:p>
          <w:p>
            <w:pPr>
              <w:numPr>
                <w:ilvl w:val="0"/>
                <w:numId w:val="7"/>
              </w:numPr>
              <w:rPr>
                <w:sz w:val="20"/>
                <w:szCs w:val="20"/>
                <w:lang w:val="en-GB"/>
              </w:rPr>
            </w:pPr>
            <w:r>
              <w:rPr>
                <w:rFonts w:hint="eastAsia"/>
                <w:sz w:val="20"/>
                <w:szCs w:val="20"/>
              </w:rPr>
              <w:t xml:space="preserve"> </w:t>
            </w:r>
            <w:r>
              <w:rPr>
                <w:rFonts w:hint="eastAsia"/>
                <w:sz w:val="20"/>
                <w:szCs w:val="20"/>
                <w:lang w:val="en-GB"/>
              </w:rPr>
              <w:t>The UE specific Koffset, if configured, is not used after t-Service and the UE uses the cell specifc Koffset until the UE receives new differential Koffset MAC CE.</w:t>
            </w:r>
          </w:p>
        </w:tc>
      </w:tr>
    </w:tbl>
    <w:p>
      <w:pPr>
        <w:rPr>
          <w:sz w:val="20"/>
          <w:szCs w:val="20"/>
          <w:lang w:val="en-GB"/>
        </w:rPr>
      </w:pPr>
    </w:p>
    <w:p>
      <w:pPr>
        <w:rPr>
          <w:sz w:val="20"/>
          <w:szCs w:val="20"/>
        </w:rPr>
      </w:pPr>
      <w:r>
        <w:rPr>
          <w:rFonts w:hint="eastAsia"/>
          <w:sz w:val="20"/>
          <w:szCs w:val="20"/>
        </w:rPr>
        <w:t xml:space="preserve">RAN2 first agreed the case where the coverage gap is zero or negligible. In this case, the UE behavior and related timeline are as shown in Figure 1: </w:t>
      </w:r>
    </w:p>
    <w:p>
      <w:pPr>
        <w:jc w:val="center"/>
        <w:rPr>
          <w:sz w:val="20"/>
          <w:szCs w:val="20"/>
          <w:lang w:val="en-GB"/>
        </w:rPr>
      </w:pPr>
      <w:r>
        <w:drawing>
          <wp:inline distT="0" distB="0" distL="114300" distR="114300">
            <wp:extent cx="4886960" cy="162306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886960" cy="1623060"/>
                    </a:xfrm>
                    <a:prstGeom prst="rect">
                      <a:avLst/>
                    </a:prstGeom>
                    <a:noFill/>
                    <a:ln>
                      <a:noFill/>
                    </a:ln>
                  </pic:spPr>
                </pic:pic>
              </a:graphicData>
            </a:graphic>
          </wp:inline>
        </w:drawing>
      </w:r>
    </w:p>
    <w:p>
      <w:pPr>
        <w:jc w:val="both"/>
        <w:rPr>
          <w:sz w:val="20"/>
          <w:szCs w:val="20"/>
        </w:rPr>
      </w:pPr>
      <w:r>
        <w:rPr>
          <w:rFonts w:hint="eastAsia"/>
          <w:sz w:val="20"/>
          <w:szCs w:val="20"/>
        </w:rPr>
        <w:t>The t-service of source satellite should be the starting point of the satellite switching delay requirements. Considering there is zero or negligible coverage gap between source satellite and target satellite, the first proponent of satellite switching delay should be T</w:t>
      </w:r>
      <w:r>
        <w:rPr>
          <w:rFonts w:hint="eastAsia"/>
          <w:sz w:val="20"/>
          <w:szCs w:val="20"/>
          <w:vertAlign w:val="subscript"/>
        </w:rPr>
        <w:t>SI-NR</w:t>
      </w:r>
      <w:r>
        <w:rPr>
          <w:rFonts w:hint="eastAsia"/>
          <w:sz w:val="20"/>
          <w:szCs w:val="20"/>
        </w:rPr>
        <w:t>, which is the time required for receiving all the relevant system information according to the reception procedure and the RRC procedure delay of system information blocks defined in TS 38.331 [2] for the target cell of target satellite.</w:t>
      </w:r>
    </w:p>
    <w:p>
      <w:pPr>
        <w:jc w:val="both"/>
        <w:rPr>
          <w:sz w:val="20"/>
          <w:szCs w:val="20"/>
        </w:rPr>
      </w:pPr>
      <w:r>
        <w:rPr>
          <w:rFonts w:hint="eastAsia"/>
          <w:sz w:val="20"/>
          <w:szCs w:val="20"/>
        </w:rPr>
        <w:t>After UE receiving SSB and performing DL sync, if RACH-based solution applies, then the second proponent of satellite switching delay should be T</w:t>
      </w:r>
      <w:r>
        <w:rPr>
          <w:rFonts w:hint="eastAsia"/>
          <w:sz w:val="20"/>
          <w:szCs w:val="20"/>
          <w:vertAlign w:val="subscript"/>
        </w:rPr>
        <w:t>PRACH</w:t>
      </w:r>
      <w:r>
        <w:rPr>
          <w:rFonts w:hint="eastAsia"/>
          <w:sz w:val="20"/>
          <w:szCs w:val="20"/>
        </w:rPr>
        <w:t>, which is the delay uncertainty in acquiring the first available PRACH occasion in the target cell of target satellite. However, if RACH-less-based solution applies, then the second proponent of satellite switching delay should be T</w:t>
      </w:r>
      <w:r>
        <w:rPr>
          <w:rFonts w:hint="eastAsia"/>
          <w:sz w:val="20"/>
          <w:szCs w:val="20"/>
          <w:vertAlign w:val="subscript"/>
        </w:rPr>
        <w:t>IU</w:t>
      </w:r>
      <w:r>
        <w:rPr>
          <w:rFonts w:hint="eastAsia"/>
          <w:sz w:val="20"/>
          <w:szCs w:val="20"/>
        </w:rPr>
        <w:t>, which is the interruption uncertainty in acquiring the first UL transmission resource which can be a configured grant based PUSCH or dynamic grant based PUSCH.</w:t>
      </w:r>
    </w:p>
    <w:p>
      <w:pPr>
        <w:spacing w:before="60" w:after="60"/>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12</w:t>
      </w:r>
      <w:r>
        <w:rPr>
          <w:b/>
          <w:bCs/>
          <w:i/>
          <w:iCs/>
          <w:sz w:val="20"/>
          <w:szCs w:val="20"/>
        </w:rPr>
        <w:t xml:space="preserve">: </w:t>
      </w:r>
      <w:r>
        <w:rPr>
          <w:rFonts w:hint="eastAsia"/>
          <w:b/>
          <w:bCs/>
          <w:i/>
          <w:iCs/>
          <w:sz w:val="20"/>
          <w:szCs w:val="20"/>
        </w:rPr>
        <w:t>In zero or negligible coverage gap scenario, t</w:t>
      </w:r>
      <w:r>
        <w:rPr>
          <w:b/>
          <w:bCs/>
          <w:i/>
          <w:iCs/>
          <w:sz w:val="20"/>
          <w:szCs w:val="20"/>
        </w:rPr>
        <w:t xml:space="preserve">he satellite switching delay requirement </w:t>
      </w:r>
      <w:r>
        <w:rPr>
          <w:rFonts w:hint="eastAsia"/>
          <w:b/>
          <w:bCs/>
          <w:i/>
          <w:iCs/>
          <w:sz w:val="20"/>
          <w:szCs w:val="20"/>
        </w:rPr>
        <w:t>is as follows:</w:t>
      </w:r>
    </w:p>
    <w:p>
      <w:pPr>
        <w:pStyle w:val="75"/>
        <w:numPr>
          <w:ilvl w:val="0"/>
          <w:numId w:val="8"/>
        </w:numPr>
        <w:ind w:firstLineChars="0"/>
        <w:rPr>
          <w:b/>
          <w:bCs/>
          <w:i/>
          <w:iCs/>
          <w:sz w:val="20"/>
          <w:szCs w:val="20"/>
          <w:lang w:val="en-GB"/>
        </w:rPr>
      </w:pPr>
      <w:r>
        <w:rPr>
          <w:rFonts w:hint="eastAsia" w:eastAsia="宋体"/>
          <w:b/>
          <w:bCs/>
          <w:i/>
          <w:iCs/>
          <w:sz w:val="20"/>
          <w:szCs w:val="20"/>
        </w:rPr>
        <w:t xml:space="preserve">If RACH-based solution applies, then </w:t>
      </w:r>
      <w:r>
        <w:rPr>
          <w:rFonts w:hint="eastAsia"/>
          <w:b/>
          <w:bCs/>
          <w:i/>
          <w:iCs/>
          <w:sz w:val="20"/>
          <w:szCs w:val="20"/>
        </w:rPr>
        <w:t>t</w:t>
      </w:r>
      <w:r>
        <w:rPr>
          <w:b/>
          <w:bCs/>
          <w:i/>
          <w:iCs/>
          <w:sz w:val="20"/>
          <w:szCs w:val="20"/>
        </w:rPr>
        <w:t>he satellite switching delay requirement</w:t>
      </w:r>
      <w:r>
        <w:rPr>
          <w:rFonts w:hint="eastAsia" w:eastAsia="宋体"/>
          <w:b/>
          <w:bCs/>
          <w:i/>
          <w:iCs/>
          <w:sz w:val="20"/>
          <w:szCs w:val="20"/>
        </w:rPr>
        <w:t xml:space="preserve"> covers:</w:t>
      </w:r>
    </w:p>
    <w:p>
      <w:pPr>
        <w:pStyle w:val="75"/>
        <w:numPr>
          <w:ilvl w:val="1"/>
          <w:numId w:val="8"/>
        </w:numPr>
        <w:ind w:firstLineChars="0"/>
        <w:rPr>
          <w:b/>
          <w:bCs/>
          <w:i/>
          <w:iCs/>
          <w:sz w:val="20"/>
          <w:szCs w:val="20"/>
          <w:lang w:val="en-GB"/>
        </w:rPr>
      </w:pPr>
      <w:r>
        <w:rPr>
          <w:b/>
          <w:bCs/>
          <w:i/>
          <w:iCs/>
          <w:sz w:val="20"/>
          <w:szCs w:val="20"/>
          <w:lang w:val="en-GB"/>
        </w:rPr>
        <w:t>T</w:t>
      </w:r>
      <w:r>
        <w:rPr>
          <w:b/>
          <w:bCs/>
          <w:i/>
          <w:iCs/>
          <w:sz w:val="20"/>
          <w:szCs w:val="20"/>
          <w:vertAlign w:val="subscript"/>
          <w:lang w:val="en-GB"/>
        </w:rPr>
        <w:t>SI-NR</w:t>
      </w:r>
      <w:r>
        <w:rPr>
          <w:rFonts w:hint="eastAsia"/>
          <w:b/>
          <w:bCs/>
          <w:i/>
          <w:iCs/>
          <w:sz w:val="20"/>
          <w:szCs w:val="20"/>
          <w:lang w:val="en-GB"/>
        </w:rPr>
        <w:t>:</w:t>
      </w:r>
      <w:r>
        <w:rPr>
          <w:b/>
          <w:bCs/>
          <w:i/>
          <w:iCs/>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pPr>
        <w:pStyle w:val="75"/>
        <w:numPr>
          <w:ilvl w:val="1"/>
          <w:numId w:val="8"/>
        </w:numPr>
        <w:ind w:firstLineChars="0"/>
        <w:rPr>
          <w:b/>
          <w:bCs/>
          <w:i/>
          <w:iCs/>
          <w:sz w:val="20"/>
          <w:szCs w:val="20"/>
          <w:lang w:val="en-GB"/>
        </w:rPr>
      </w:pPr>
      <w:r>
        <w:rPr>
          <w:b/>
          <w:bCs/>
          <w:i/>
          <w:iCs/>
          <w:sz w:val="20"/>
          <w:szCs w:val="20"/>
          <w:lang w:val="en-GB"/>
        </w:rPr>
        <w:t>T</w:t>
      </w:r>
      <w:r>
        <w:rPr>
          <w:b/>
          <w:bCs/>
          <w:i/>
          <w:iCs/>
          <w:sz w:val="20"/>
          <w:szCs w:val="20"/>
          <w:vertAlign w:val="subscript"/>
          <w:lang w:val="en-GB"/>
        </w:rPr>
        <w:t>PRACH</w:t>
      </w:r>
      <w:r>
        <w:rPr>
          <w:rFonts w:hint="eastAsia"/>
          <w:b/>
          <w:bCs/>
          <w:i/>
          <w:iCs/>
          <w:sz w:val="20"/>
          <w:szCs w:val="20"/>
          <w:lang w:val="en-GB"/>
        </w:rPr>
        <w:t>:</w:t>
      </w:r>
      <w:r>
        <w:rPr>
          <w:b/>
          <w:bCs/>
          <w:i/>
          <w:iCs/>
          <w:sz w:val="20"/>
          <w:szCs w:val="20"/>
          <w:lang w:val="en-GB"/>
        </w:rPr>
        <w:t xml:space="preserve"> It is the delay uncertainty in acquiring the first available PRACH occasion in the target cell of target satellite. </w:t>
      </w:r>
    </w:p>
    <w:p>
      <w:pPr>
        <w:pStyle w:val="75"/>
        <w:numPr>
          <w:ilvl w:val="0"/>
          <w:numId w:val="8"/>
        </w:numPr>
        <w:ind w:firstLineChars="0"/>
        <w:rPr>
          <w:b/>
          <w:bCs/>
          <w:i/>
          <w:iCs/>
          <w:sz w:val="20"/>
          <w:szCs w:val="20"/>
          <w:lang w:val="en-GB"/>
        </w:rPr>
      </w:pPr>
      <w:r>
        <w:rPr>
          <w:rFonts w:hint="eastAsia" w:eastAsia="宋体"/>
          <w:b/>
          <w:bCs/>
          <w:i/>
          <w:iCs/>
          <w:sz w:val="20"/>
          <w:szCs w:val="20"/>
        </w:rPr>
        <w:t xml:space="preserve">If RACH-less-based solution applies, then </w:t>
      </w:r>
      <w:r>
        <w:rPr>
          <w:rFonts w:hint="eastAsia"/>
          <w:b/>
          <w:bCs/>
          <w:i/>
          <w:iCs/>
          <w:sz w:val="20"/>
          <w:szCs w:val="20"/>
        </w:rPr>
        <w:t>t</w:t>
      </w:r>
      <w:r>
        <w:rPr>
          <w:b/>
          <w:bCs/>
          <w:i/>
          <w:iCs/>
          <w:sz w:val="20"/>
          <w:szCs w:val="20"/>
        </w:rPr>
        <w:t>he satellite switching delay requirement</w:t>
      </w:r>
      <w:r>
        <w:rPr>
          <w:rFonts w:hint="eastAsia" w:eastAsia="宋体"/>
          <w:b/>
          <w:bCs/>
          <w:i/>
          <w:iCs/>
          <w:sz w:val="20"/>
          <w:szCs w:val="20"/>
        </w:rPr>
        <w:t xml:space="preserve"> covers:</w:t>
      </w:r>
    </w:p>
    <w:p>
      <w:pPr>
        <w:pStyle w:val="75"/>
        <w:numPr>
          <w:ilvl w:val="1"/>
          <w:numId w:val="8"/>
        </w:numPr>
        <w:ind w:firstLineChars="0"/>
        <w:rPr>
          <w:b/>
          <w:bCs/>
          <w:i/>
          <w:iCs/>
          <w:sz w:val="20"/>
          <w:szCs w:val="20"/>
          <w:lang w:val="en-GB"/>
        </w:rPr>
      </w:pPr>
      <w:r>
        <w:rPr>
          <w:b/>
          <w:bCs/>
          <w:i/>
          <w:iCs/>
          <w:sz w:val="20"/>
          <w:szCs w:val="20"/>
          <w:lang w:val="en-GB"/>
        </w:rPr>
        <w:t>T</w:t>
      </w:r>
      <w:r>
        <w:rPr>
          <w:b/>
          <w:bCs/>
          <w:i/>
          <w:iCs/>
          <w:sz w:val="20"/>
          <w:szCs w:val="20"/>
          <w:vertAlign w:val="subscript"/>
          <w:lang w:val="en-GB"/>
        </w:rPr>
        <w:t>SI-NR</w:t>
      </w:r>
      <w:r>
        <w:rPr>
          <w:rFonts w:hint="eastAsia"/>
          <w:b/>
          <w:bCs/>
          <w:i/>
          <w:iCs/>
          <w:sz w:val="20"/>
          <w:szCs w:val="20"/>
          <w:lang w:val="en-GB"/>
        </w:rPr>
        <w:t>:</w:t>
      </w:r>
      <w:r>
        <w:rPr>
          <w:b/>
          <w:bCs/>
          <w:i/>
          <w:iCs/>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pPr>
        <w:pStyle w:val="75"/>
        <w:numPr>
          <w:ilvl w:val="1"/>
          <w:numId w:val="8"/>
        </w:numPr>
        <w:ind w:firstLineChars="0"/>
        <w:rPr>
          <w:b/>
          <w:i/>
          <w:iCs/>
          <w:sz w:val="20"/>
          <w:szCs w:val="20"/>
          <w:u w:val="single"/>
          <w:lang w:eastAsia="ko-KR"/>
        </w:rPr>
      </w:pPr>
      <w:r>
        <w:rPr>
          <w:b/>
          <w:bCs/>
          <w:i/>
          <w:iCs/>
          <w:sz w:val="20"/>
          <w:szCs w:val="20"/>
        </w:rPr>
        <w:t>T</w:t>
      </w:r>
      <w:r>
        <w:rPr>
          <w:b/>
          <w:bCs/>
          <w:i/>
          <w:iCs/>
          <w:sz w:val="20"/>
          <w:szCs w:val="20"/>
          <w:vertAlign w:val="subscript"/>
        </w:rPr>
        <w:t>IU</w:t>
      </w:r>
      <w:r>
        <w:rPr>
          <w:b/>
          <w:bCs/>
          <w:i/>
          <w:iCs/>
          <w:sz w:val="20"/>
          <w:szCs w:val="20"/>
        </w:rPr>
        <w:t>,</w:t>
      </w:r>
      <w:r>
        <w:rPr>
          <w:rFonts w:hint="eastAsia"/>
          <w:b/>
          <w:bCs/>
          <w:i/>
          <w:iCs/>
          <w:sz w:val="20"/>
          <w:szCs w:val="20"/>
        </w:rPr>
        <w:t xml:space="preserve"> It</w:t>
      </w:r>
      <w:r>
        <w:rPr>
          <w:b/>
          <w:bCs/>
          <w:i/>
          <w:iCs/>
          <w:sz w:val="20"/>
          <w:szCs w:val="20"/>
        </w:rPr>
        <w:t xml:space="preserve"> is the interruption uncertainty in acquiring the first UL transmission resource which can be a configured grant based PUSCH or dynamic grant based PUSCH.</w:t>
      </w:r>
    </w:p>
    <w:p>
      <w:pPr>
        <w:pStyle w:val="75"/>
        <w:ind w:firstLine="0" w:firstLineChars="0"/>
        <w:rPr>
          <w:b/>
          <w:i/>
          <w:iCs/>
          <w:sz w:val="20"/>
          <w:szCs w:val="20"/>
          <w:u w:val="single"/>
          <w:lang w:eastAsia="ko-KR"/>
        </w:rPr>
      </w:pPr>
    </w:p>
    <w:p>
      <w:pPr>
        <w:outlineLvl w:val="2"/>
        <w:rPr>
          <w:b/>
          <w:i/>
          <w:iCs/>
          <w:sz w:val="20"/>
          <w:szCs w:val="20"/>
          <w:u w:val="single"/>
        </w:rPr>
      </w:pPr>
      <w:r>
        <w:rPr>
          <w:rFonts w:hint="eastAsia"/>
          <w:b/>
          <w:i/>
          <w:iCs/>
          <w:sz w:val="20"/>
          <w:szCs w:val="20"/>
          <w:u w:val="single"/>
        </w:rPr>
        <w:t>Time and location-based trigger CHO enhancements</w:t>
      </w:r>
    </w:p>
    <w:p>
      <w:pPr>
        <w:jc w:val="both"/>
        <w:rPr>
          <w:sz w:val="20"/>
          <w:szCs w:val="20"/>
        </w:rPr>
      </w:pPr>
      <w:r>
        <w:rPr>
          <w:rFonts w:hint="eastAsia"/>
          <w:sz w:val="20"/>
          <w:szCs w:val="20"/>
        </w:rPr>
        <w:t>Following agreements has been achieved in RAN2#123</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jc w:val="both"/>
              <w:rPr>
                <w:b/>
                <w:bCs/>
                <w:i/>
                <w:iCs/>
                <w:sz w:val="20"/>
                <w:szCs w:val="20"/>
              </w:rPr>
            </w:pPr>
            <w:r>
              <w:rPr>
                <w:i/>
                <w:iCs/>
                <w:sz w:val="20"/>
                <w:szCs w:val="20"/>
              </w:rPr>
              <w:t>For CHO in NTN (both NR NTN and eMTC NTN, time and location-based trigger conditions may be configured independently (i.e., without a jointly configured measurement condition). We add a description/note saying in which scenarios this is reasonable, e.g. at least hard-switch case where gap is assumed to be zero/negligible</w:t>
            </w:r>
          </w:p>
        </w:tc>
      </w:tr>
    </w:tbl>
    <w:p>
      <w:pPr>
        <w:jc w:val="both"/>
        <w:rPr>
          <w:sz w:val="20"/>
          <w:szCs w:val="20"/>
        </w:rPr>
      </w:pPr>
      <w:r>
        <w:rPr>
          <w:rFonts w:hint="eastAsia"/>
          <w:sz w:val="20"/>
          <w:szCs w:val="20"/>
        </w:rPr>
        <w:t xml:space="preserve">In hard-switch case where gap is assumed to be zero/negligible, time and location-based trigger conditions may be configured independently. In this case, CHO requirements should be </w:t>
      </w:r>
      <w:r>
        <w:rPr>
          <w:rFonts w:hint="eastAsia"/>
          <w:sz w:val="20"/>
          <w:szCs w:val="20"/>
          <w:lang w:val="en-US" w:eastAsia="zh-CN"/>
        </w:rPr>
        <w:t>revised as follows:</w:t>
      </w:r>
    </w:p>
    <w:p>
      <w:pPr>
        <w:rPr>
          <w:rFonts w:cs="v4.2.0"/>
          <w:i/>
          <w:iCs/>
          <w:sz w:val="20"/>
          <w:szCs w:val="20"/>
        </w:rPr>
      </w:pPr>
      <w:r>
        <w:rPr>
          <w:rFonts w:cs="v4.2.0"/>
          <w:i/>
          <w:iCs/>
          <w:sz w:val="20"/>
          <w:szCs w:val="20"/>
        </w:rPr>
        <w:t xml:space="preserve">When the UE receives a RRC message implying conditional handover the UE shall be ready to </w:t>
      </w:r>
      <w:r>
        <w:rPr>
          <w:rFonts w:cs="v4.2.0"/>
          <w:i/>
          <w:iCs/>
          <w:snapToGrid w:val="0"/>
          <w:sz w:val="20"/>
          <w:szCs w:val="20"/>
        </w:rPr>
        <w:t>start the transmission of the new uplink PRACH channel</w:t>
      </w:r>
      <w:r>
        <w:rPr>
          <w:rFonts w:cs="v4.2.0"/>
          <w:i/>
          <w:iCs/>
          <w:sz w:val="20"/>
          <w:szCs w:val="20"/>
        </w:rPr>
        <w:t xml:space="preserve"> within D</w:t>
      </w:r>
      <w:r>
        <w:rPr>
          <w:rFonts w:cs="v4.2.0"/>
          <w:i/>
          <w:iCs/>
          <w:sz w:val="20"/>
          <w:szCs w:val="20"/>
          <w:vertAlign w:val="subscript"/>
        </w:rPr>
        <w:t>CHO</w:t>
      </w:r>
      <w:r>
        <w:rPr>
          <w:rFonts w:cs="v4.2.0"/>
          <w:i/>
          <w:iCs/>
          <w:sz w:val="20"/>
          <w:szCs w:val="20"/>
        </w:rPr>
        <w:t xml:space="preserve"> seconds from the end of the last TTI containing the RRC command.</w:t>
      </w:r>
    </w:p>
    <w:p>
      <w:pPr>
        <w:pStyle w:val="90"/>
        <w:rPr>
          <w:i/>
          <w:iCs/>
          <w:sz w:val="20"/>
          <w:szCs w:val="20"/>
        </w:rPr>
      </w:pPr>
      <w:r>
        <w:rPr>
          <w:i/>
          <w:iCs/>
          <w:sz w:val="20"/>
          <w:szCs w:val="20"/>
        </w:rPr>
        <w:tab/>
      </w:r>
      <w:r>
        <w:rPr>
          <w:i/>
          <w:iCs/>
          <w:sz w:val="20"/>
          <w:szCs w:val="20"/>
        </w:rPr>
        <w:t>D</w:t>
      </w:r>
      <w:r>
        <w:rPr>
          <w:i/>
          <w:iCs/>
          <w:sz w:val="20"/>
          <w:szCs w:val="20"/>
          <w:vertAlign w:val="subscript"/>
        </w:rPr>
        <w:t>CHO</w:t>
      </w:r>
      <w:r>
        <w:rPr>
          <w:i/>
          <w:iCs/>
          <w:sz w:val="20"/>
          <w:szCs w:val="20"/>
        </w:rPr>
        <w:t xml:space="preserve"> = T</w:t>
      </w:r>
      <w:r>
        <w:rPr>
          <w:i/>
          <w:iCs/>
          <w:sz w:val="20"/>
          <w:szCs w:val="20"/>
          <w:vertAlign w:val="subscript"/>
        </w:rPr>
        <w:t>RRC</w:t>
      </w:r>
      <w:r>
        <w:rPr>
          <w:i/>
          <w:iCs/>
          <w:sz w:val="20"/>
          <w:szCs w:val="20"/>
        </w:rPr>
        <w:t xml:space="preserve"> + T</w:t>
      </w:r>
      <w:r>
        <w:rPr>
          <w:i/>
          <w:iCs/>
          <w:sz w:val="20"/>
          <w:szCs w:val="20"/>
          <w:vertAlign w:val="subscript"/>
        </w:rPr>
        <w:t>Event_DU</w:t>
      </w:r>
      <w:r>
        <w:rPr>
          <w:i/>
          <w:iCs/>
          <w:sz w:val="20"/>
          <w:szCs w:val="20"/>
        </w:rPr>
        <w:t xml:space="preserve"> + </w:t>
      </w:r>
      <w:r>
        <w:rPr>
          <w:i/>
          <w:iCs/>
          <w:strike/>
          <w:sz w:val="20"/>
          <w:szCs w:val="20"/>
        </w:rPr>
        <w:t>T</w:t>
      </w:r>
      <w:r>
        <w:rPr>
          <w:i/>
          <w:iCs/>
          <w:strike/>
          <w:sz w:val="20"/>
          <w:szCs w:val="20"/>
          <w:vertAlign w:val="subscript"/>
        </w:rPr>
        <w:t>measure</w:t>
      </w:r>
      <w:r>
        <w:rPr>
          <w:i/>
          <w:iCs/>
          <w:strike/>
          <w:sz w:val="20"/>
          <w:szCs w:val="20"/>
        </w:rPr>
        <w:t xml:space="preserve"> +</w:t>
      </w:r>
      <w:r>
        <w:rPr>
          <w:i/>
          <w:iCs/>
          <w:sz w:val="20"/>
          <w:szCs w:val="20"/>
        </w:rPr>
        <w:t xml:space="preserve"> T</w:t>
      </w:r>
      <w:r>
        <w:rPr>
          <w:i/>
          <w:iCs/>
          <w:sz w:val="20"/>
          <w:szCs w:val="20"/>
          <w:vertAlign w:val="subscript"/>
        </w:rPr>
        <w:t>interrupt</w:t>
      </w:r>
      <w:r>
        <w:rPr>
          <w:i/>
          <w:iCs/>
          <w:sz w:val="20"/>
          <w:szCs w:val="20"/>
        </w:rPr>
        <w:t xml:space="preserve"> + T</w:t>
      </w:r>
      <w:r>
        <w:rPr>
          <w:i/>
          <w:iCs/>
          <w:sz w:val="20"/>
          <w:szCs w:val="20"/>
          <w:vertAlign w:val="subscript"/>
        </w:rPr>
        <w:t>CHO_execution</w:t>
      </w:r>
    </w:p>
    <w:p>
      <w:pPr>
        <w:rPr>
          <w:rFonts w:cs="v4.2.0"/>
          <w:i/>
          <w:iCs/>
          <w:sz w:val="20"/>
          <w:szCs w:val="20"/>
        </w:rPr>
      </w:pPr>
      <w:r>
        <w:rPr>
          <w:rFonts w:cs="v4.2.0"/>
          <w:i/>
          <w:iCs/>
          <w:sz w:val="20"/>
          <w:szCs w:val="20"/>
        </w:rPr>
        <w:t>Where:</w:t>
      </w:r>
    </w:p>
    <w:p>
      <w:pPr>
        <w:pStyle w:val="50"/>
        <w:rPr>
          <w:i/>
          <w:iCs/>
        </w:rPr>
      </w:pPr>
      <w:r>
        <w:rPr>
          <w:bCs/>
          <w:i/>
          <w:iCs/>
          <w:lang w:val="en-US" w:eastAsia="zh-CN"/>
        </w:rPr>
        <w:tab/>
      </w:r>
      <w:r>
        <w:rPr>
          <w:bCs/>
          <w:i/>
          <w:iCs/>
          <w:lang w:val="en-US" w:eastAsia="zh-CN"/>
        </w:rPr>
        <w:t>T</w:t>
      </w:r>
      <w:r>
        <w:rPr>
          <w:bCs/>
          <w:i/>
          <w:iCs/>
          <w:vertAlign w:val="subscript"/>
          <w:lang w:val="en-US" w:eastAsia="zh-CN"/>
        </w:rPr>
        <w:t>RRC</w:t>
      </w:r>
      <w:r>
        <w:rPr>
          <w:i/>
          <w:iCs/>
        </w:rPr>
        <w:t xml:space="preserve"> is the RRC procedure delay</w:t>
      </w:r>
    </w:p>
    <w:p>
      <w:pPr>
        <w:pStyle w:val="50"/>
        <w:rPr>
          <w:i/>
          <w:iCs/>
          <w:lang w:val="en-US"/>
        </w:rPr>
      </w:pPr>
      <w:r>
        <w:rPr>
          <w:i/>
          <w:iCs/>
        </w:rPr>
        <w:tab/>
      </w:r>
      <w:r>
        <w:rPr>
          <w:i/>
          <w:iCs/>
        </w:rPr>
        <w:t>T</w:t>
      </w:r>
      <w:r>
        <w:rPr>
          <w:i/>
          <w:iCs/>
          <w:vertAlign w:val="subscript"/>
        </w:rPr>
        <w:t>Event_DU</w:t>
      </w:r>
      <w:r>
        <w:rPr>
          <w:i/>
          <w:iCs/>
        </w:rPr>
        <w:t xml:space="preserve"> is the delay uncertainty which is the time from when the UE successfully decodes a conditional handover command until </w:t>
      </w:r>
      <w:r>
        <w:rPr>
          <w:rFonts w:hint="eastAsia" w:eastAsia="宋体"/>
          <w:i/>
          <w:iCs/>
          <w:lang w:val="en-US" w:eastAsia="zh-CN"/>
        </w:rPr>
        <w:t>the time/location</w:t>
      </w:r>
      <w:r>
        <w:rPr>
          <w:i/>
          <w:iCs/>
        </w:rPr>
        <w:t xml:space="preserve"> condition </w:t>
      </w:r>
      <w:r>
        <w:rPr>
          <w:rFonts w:hint="eastAsia" w:eastAsia="宋体"/>
          <w:i/>
          <w:iCs/>
          <w:lang w:val="en-US" w:eastAsia="zh-CN"/>
        </w:rPr>
        <w:t>fulfilled</w:t>
      </w:r>
      <w:r>
        <w:rPr>
          <w:i/>
          <w:iCs/>
        </w:rPr>
        <w:t xml:space="preserve">. </w:t>
      </w:r>
    </w:p>
    <w:p>
      <w:pPr>
        <w:pStyle w:val="50"/>
        <w:rPr>
          <w:i/>
          <w:iCs/>
          <w:strike/>
        </w:rPr>
      </w:pPr>
      <w:r>
        <w:rPr>
          <w:bCs/>
          <w:i/>
          <w:iCs/>
          <w:strike/>
          <w:lang w:val="en-US" w:eastAsia="zh-CN"/>
        </w:rPr>
        <w:tab/>
      </w:r>
      <w:r>
        <w:rPr>
          <w:bCs/>
          <w:i/>
          <w:iCs/>
          <w:strike/>
          <w:lang w:val="en-US" w:eastAsia="zh-CN"/>
        </w:rPr>
        <w:t>T</w:t>
      </w:r>
      <w:r>
        <w:rPr>
          <w:bCs/>
          <w:i/>
          <w:iCs/>
          <w:strike/>
          <w:vertAlign w:val="subscript"/>
          <w:lang w:val="en-US" w:eastAsia="zh-CN"/>
        </w:rPr>
        <w:t>measure</w:t>
      </w:r>
      <w:r>
        <w:rPr>
          <w:i/>
          <w:iCs/>
          <w:strike/>
        </w:rPr>
        <w:t xml:space="preserve"> is the measurements time stated in clause 6.1.4.2.2.</w:t>
      </w:r>
    </w:p>
    <w:p>
      <w:pPr>
        <w:pStyle w:val="50"/>
        <w:rPr>
          <w:i/>
          <w:iCs/>
        </w:rPr>
      </w:pPr>
      <w:r>
        <w:rPr>
          <w:i/>
          <w:iCs/>
        </w:rPr>
        <w:tab/>
      </w:r>
      <w:r>
        <w:rPr>
          <w:i/>
          <w:iCs/>
        </w:rPr>
        <w:t>T</w:t>
      </w:r>
      <w:r>
        <w:rPr>
          <w:i/>
          <w:iCs/>
          <w:vertAlign w:val="subscript"/>
        </w:rPr>
        <w:t>CHO_execution</w:t>
      </w:r>
      <w:r>
        <w:rPr>
          <w:i/>
          <w:iCs/>
        </w:rPr>
        <w:t xml:space="preserve"> is the conditional execution preparation time</w:t>
      </w:r>
    </w:p>
    <w:p>
      <w:pPr>
        <w:pStyle w:val="50"/>
        <w:rPr>
          <w:i/>
          <w:iCs/>
        </w:rPr>
      </w:pPr>
      <w:r>
        <w:rPr>
          <w:bCs/>
          <w:i/>
          <w:iCs/>
          <w:lang w:eastAsia="zh-CN"/>
        </w:rPr>
        <w:tab/>
      </w:r>
      <w:r>
        <w:rPr>
          <w:bCs/>
          <w:i/>
          <w:iCs/>
          <w:lang w:eastAsia="zh-CN"/>
        </w:rPr>
        <w:t>T</w:t>
      </w:r>
      <w:r>
        <w:rPr>
          <w:bCs/>
          <w:i/>
          <w:iCs/>
          <w:vertAlign w:val="subscript"/>
          <w:lang w:eastAsia="zh-CN"/>
        </w:rPr>
        <w:t>interrupt</w:t>
      </w:r>
      <w:r>
        <w:rPr>
          <w:i/>
          <w:iCs/>
        </w:rPr>
        <w:t xml:space="preserve"> is the interruption time</w:t>
      </w:r>
    </w:p>
    <w:p>
      <w:pPr>
        <w:jc w:val="both"/>
        <w:rPr>
          <w:rFonts w:hint="eastAsia"/>
          <w:b/>
          <w:bCs/>
          <w:i/>
          <w:iCs/>
          <w:sz w:val="20"/>
          <w:szCs w:val="20"/>
        </w:rPr>
      </w:pPr>
      <w:r>
        <w:rPr>
          <w:rFonts w:hint="eastAsia"/>
          <w:b/>
          <w:bCs/>
          <w:i/>
          <w:iCs/>
          <w:sz w:val="20"/>
          <w:szCs w:val="20"/>
        </w:rPr>
        <w:t xml:space="preserve">Proposal </w:t>
      </w:r>
      <w:r>
        <w:rPr>
          <w:rFonts w:hint="eastAsia"/>
          <w:b/>
          <w:bCs/>
          <w:i/>
          <w:iCs/>
          <w:sz w:val="20"/>
          <w:szCs w:val="20"/>
          <w:lang w:val="en-US" w:eastAsia="zh-CN"/>
        </w:rPr>
        <w:t>13</w:t>
      </w:r>
      <w:r>
        <w:rPr>
          <w:rFonts w:hint="eastAsia"/>
          <w:b/>
          <w:bCs/>
          <w:i/>
          <w:iCs/>
          <w:sz w:val="20"/>
          <w:szCs w:val="20"/>
        </w:rPr>
        <w:t>: The</w:t>
      </w:r>
      <w:r>
        <w:rPr>
          <w:rFonts w:hint="eastAsia"/>
          <w:b/>
          <w:bCs/>
          <w:i/>
          <w:iCs/>
          <w:sz w:val="20"/>
          <w:szCs w:val="20"/>
          <w:lang w:val="en-US" w:eastAsia="zh-CN"/>
        </w:rPr>
        <w:t xml:space="preserve"> </w:t>
      </w:r>
      <w:r>
        <w:rPr>
          <w:rFonts w:hint="eastAsia"/>
          <w:b/>
          <w:bCs/>
          <w:i/>
          <w:iCs/>
          <w:sz w:val="20"/>
          <w:szCs w:val="20"/>
        </w:rPr>
        <w:t xml:space="preserve">CHO requirements </w:t>
      </w:r>
      <w:r>
        <w:rPr>
          <w:rFonts w:hint="eastAsia"/>
          <w:b/>
          <w:bCs/>
          <w:i/>
          <w:iCs/>
          <w:sz w:val="20"/>
          <w:szCs w:val="20"/>
          <w:lang w:val="en-US" w:eastAsia="zh-CN"/>
        </w:rPr>
        <w:t>should be revised</w:t>
      </w:r>
      <w:r>
        <w:rPr>
          <w:rFonts w:hint="eastAsia"/>
          <w:b/>
          <w:bCs/>
          <w:i/>
          <w:iCs/>
          <w:sz w:val="20"/>
          <w:szCs w:val="20"/>
        </w:rPr>
        <w:t xml:space="preserve"> in hard-switch case where gap is assumed to be zero/negligible and the time and location-based trigger conditions are configured independently. </w:t>
      </w:r>
    </w:p>
    <w:p>
      <w:pPr>
        <w:jc w:val="center"/>
        <w:rPr>
          <w:rFonts w:hint="eastAsia"/>
          <w:b/>
          <w:bCs/>
          <w:i/>
          <w:iCs/>
          <w:sz w:val="20"/>
          <w:szCs w:val="20"/>
        </w:rPr>
      </w:pPr>
      <w:r>
        <w:rPr>
          <w:b/>
          <w:bCs/>
          <w:i/>
          <w:iCs/>
          <w:sz w:val="20"/>
          <w:szCs w:val="20"/>
        </w:rPr>
        <w:t>D</w:t>
      </w:r>
      <w:r>
        <w:rPr>
          <w:b/>
          <w:bCs/>
          <w:i/>
          <w:iCs/>
          <w:sz w:val="20"/>
          <w:szCs w:val="20"/>
          <w:vertAlign w:val="subscript"/>
        </w:rPr>
        <w:t>CHO</w:t>
      </w:r>
      <w:r>
        <w:rPr>
          <w:b/>
          <w:bCs/>
          <w:i/>
          <w:iCs/>
          <w:sz w:val="20"/>
          <w:szCs w:val="20"/>
        </w:rPr>
        <w:t xml:space="preserve"> = T</w:t>
      </w:r>
      <w:r>
        <w:rPr>
          <w:b/>
          <w:bCs/>
          <w:i/>
          <w:iCs/>
          <w:sz w:val="20"/>
          <w:szCs w:val="20"/>
          <w:vertAlign w:val="subscript"/>
        </w:rPr>
        <w:t>RRC</w:t>
      </w:r>
      <w:r>
        <w:rPr>
          <w:b/>
          <w:bCs/>
          <w:i/>
          <w:iCs/>
          <w:sz w:val="20"/>
          <w:szCs w:val="20"/>
        </w:rPr>
        <w:t xml:space="preserve"> + T</w:t>
      </w:r>
      <w:r>
        <w:rPr>
          <w:b/>
          <w:bCs/>
          <w:i/>
          <w:iCs/>
          <w:sz w:val="20"/>
          <w:szCs w:val="20"/>
          <w:vertAlign w:val="subscript"/>
        </w:rPr>
        <w:t>Event_DU</w:t>
      </w:r>
      <w:r>
        <w:rPr>
          <w:b/>
          <w:bCs/>
          <w:i/>
          <w:iCs/>
          <w:sz w:val="20"/>
          <w:szCs w:val="20"/>
        </w:rPr>
        <w:t xml:space="preserve"> + T</w:t>
      </w:r>
      <w:r>
        <w:rPr>
          <w:b/>
          <w:bCs/>
          <w:i/>
          <w:iCs/>
          <w:sz w:val="20"/>
          <w:szCs w:val="20"/>
          <w:vertAlign w:val="subscript"/>
        </w:rPr>
        <w:t>interrupt</w:t>
      </w:r>
      <w:r>
        <w:rPr>
          <w:b/>
          <w:bCs/>
          <w:i/>
          <w:iCs/>
          <w:sz w:val="20"/>
          <w:szCs w:val="20"/>
        </w:rPr>
        <w:t xml:space="preserve"> + T</w:t>
      </w:r>
      <w:r>
        <w:rPr>
          <w:b/>
          <w:bCs/>
          <w:i/>
          <w:iCs/>
          <w:sz w:val="20"/>
          <w:szCs w:val="20"/>
          <w:vertAlign w:val="subscript"/>
        </w:rPr>
        <w:t>CHO_execution</w:t>
      </w:r>
    </w:p>
    <w:p>
      <w:pPr>
        <w:rPr>
          <w:rFonts w:cs="v4.2.0"/>
          <w:b/>
          <w:bCs/>
          <w:i/>
          <w:iCs/>
          <w:sz w:val="20"/>
          <w:szCs w:val="20"/>
        </w:rPr>
      </w:pPr>
      <w:r>
        <w:rPr>
          <w:rFonts w:cs="v4.2.0"/>
          <w:b/>
          <w:bCs/>
          <w:i/>
          <w:iCs/>
          <w:sz w:val="20"/>
          <w:szCs w:val="20"/>
        </w:rPr>
        <w:t>Where:</w:t>
      </w:r>
    </w:p>
    <w:p>
      <w:pPr>
        <w:pStyle w:val="50"/>
        <w:rPr>
          <w:b/>
          <w:bCs/>
          <w:i/>
          <w:iCs/>
        </w:rPr>
      </w:pPr>
      <w:r>
        <w:rPr>
          <w:b/>
          <w:bCs/>
          <w:i/>
          <w:iCs/>
          <w:lang w:val="en-US" w:eastAsia="zh-CN"/>
        </w:rPr>
        <w:tab/>
      </w:r>
      <w:r>
        <w:rPr>
          <w:b/>
          <w:bCs/>
          <w:i/>
          <w:iCs/>
          <w:lang w:val="en-US" w:eastAsia="zh-CN"/>
        </w:rPr>
        <w:t>T</w:t>
      </w:r>
      <w:r>
        <w:rPr>
          <w:b/>
          <w:bCs/>
          <w:i/>
          <w:iCs/>
          <w:vertAlign w:val="subscript"/>
          <w:lang w:val="en-US" w:eastAsia="zh-CN"/>
        </w:rPr>
        <w:t>RRC</w:t>
      </w:r>
      <w:r>
        <w:rPr>
          <w:b/>
          <w:bCs/>
          <w:i/>
          <w:iCs/>
        </w:rPr>
        <w:t xml:space="preserve"> is the RRC procedure delay</w:t>
      </w:r>
    </w:p>
    <w:p>
      <w:pPr>
        <w:pStyle w:val="50"/>
        <w:rPr>
          <w:b/>
          <w:bCs/>
          <w:i/>
          <w:iCs/>
          <w:lang w:val="en-US"/>
        </w:rPr>
      </w:pPr>
      <w:r>
        <w:rPr>
          <w:b/>
          <w:bCs/>
          <w:i/>
          <w:iCs/>
        </w:rPr>
        <w:tab/>
      </w:r>
      <w:r>
        <w:rPr>
          <w:b/>
          <w:bCs/>
          <w:i/>
          <w:iCs/>
        </w:rPr>
        <w:t>T</w:t>
      </w:r>
      <w:r>
        <w:rPr>
          <w:b/>
          <w:bCs/>
          <w:i/>
          <w:iCs/>
          <w:vertAlign w:val="subscript"/>
        </w:rPr>
        <w:t>Event_DU</w:t>
      </w:r>
      <w:r>
        <w:rPr>
          <w:b/>
          <w:bCs/>
          <w:i/>
          <w:iCs/>
        </w:rPr>
        <w:t xml:space="preserve"> is the delay uncertainty which is the time from when the UE successfully decodes a conditional handover command until </w:t>
      </w:r>
      <w:r>
        <w:rPr>
          <w:rFonts w:hint="eastAsia" w:eastAsia="宋体"/>
          <w:b/>
          <w:bCs/>
          <w:i/>
          <w:iCs/>
          <w:lang w:val="en-US" w:eastAsia="zh-CN"/>
        </w:rPr>
        <w:t>the time/location</w:t>
      </w:r>
      <w:r>
        <w:rPr>
          <w:b/>
          <w:bCs/>
          <w:i/>
          <w:iCs/>
        </w:rPr>
        <w:t xml:space="preserve"> condition </w:t>
      </w:r>
      <w:r>
        <w:rPr>
          <w:rFonts w:hint="eastAsia" w:eastAsia="宋体"/>
          <w:b/>
          <w:bCs/>
          <w:i/>
          <w:iCs/>
          <w:lang w:val="en-US" w:eastAsia="zh-CN"/>
        </w:rPr>
        <w:t>fulfilled</w:t>
      </w:r>
      <w:r>
        <w:rPr>
          <w:b/>
          <w:bCs/>
          <w:i/>
          <w:iCs/>
        </w:rPr>
        <w:t xml:space="preserve">. </w:t>
      </w:r>
    </w:p>
    <w:p>
      <w:pPr>
        <w:pStyle w:val="50"/>
        <w:rPr>
          <w:b/>
          <w:bCs/>
          <w:i/>
          <w:iCs/>
        </w:rPr>
      </w:pPr>
      <w:r>
        <w:rPr>
          <w:b/>
          <w:bCs/>
          <w:i/>
          <w:iCs/>
        </w:rPr>
        <w:tab/>
      </w:r>
      <w:r>
        <w:rPr>
          <w:b/>
          <w:bCs/>
          <w:i/>
          <w:iCs/>
        </w:rPr>
        <w:t>T</w:t>
      </w:r>
      <w:r>
        <w:rPr>
          <w:b/>
          <w:bCs/>
          <w:i/>
          <w:iCs/>
          <w:vertAlign w:val="subscript"/>
        </w:rPr>
        <w:t>CHO_execution</w:t>
      </w:r>
      <w:r>
        <w:rPr>
          <w:b/>
          <w:bCs/>
          <w:i/>
          <w:iCs/>
        </w:rPr>
        <w:t xml:space="preserve"> is the conditional execution preparation time</w:t>
      </w:r>
    </w:p>
    <w:p>
      <w:pPr>
        <w:pStyle w:val="50"/>
        <w:rPr>
          <w:b/>
          <w:bCs/>
          <w:i/>
          <w:iCs/>
        </w:rPr>
      </w:pPr>
      <w:r>
        <w:rPr>
          <w:b/>
          <w:bCs/>
          <w:i/>
          <w:iCs/>
          <w:lang w:eastAsia="zh-CN"/>
        </w:rPr>
        <w:tab/>
      </w:r>
      <w:r>
        <w:rPr>
          <w:b/>
          <w:bCs/>
          <w:i/>
          <w:iCs/>
          <w:lang w:eastAsia="zh-CN"/>
        </w:rPr>
        <w:t>T</w:t>
      </w:r>
      <w:r>
        <w:rPr>
          <w:b/>
          <w:bCs/>
          <w:i/>
          <w:iCs/>
          <w:vertAlign w:val="subscript"/>
          <w:lang w:eastAsia="zh-CN"/>
        </w:rPr>
        <w:t>interrupt</w:t>
      </w:r>
      <w:r>
        <w:rPr>
          <w:b/>
          <w:bCs/>
          <w:i/>
          <w:iCs/>
        </w:rPr>
        <w:t xml:space="preserve"> is the interruption time</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rPr>
        <w:t>1</w:t>
      </w:r>
      <w:r>
        <w:rPr>
          <w:rFonts w:eastAsia="等线"/>
          <w:b/>
          <w:bCs/>
          <w:i/>
          <w:iCs/>
          <w:sz w:val="20"/>
          <w:szCs w:val="20"/>
        </w:rPr>
        <w:t xml:space="preserve">: </w:t>
      </w:r>
      <w:r>
        <w:rPr>
          <w:rFonts w:hint="eastAsia" w:eastAsia="等线"/>
          <w:b/>
          <w:bCs/>
          <w:i/>
          <w:iCs/>
          <w:sz w:val="20"/>
          <w:szCs w:val="20"/>
        </w:rPr>
        <w:t>Deprioritize the TN-to-NTN cell re-selection scenario.</w:t>
      </w:r>
    </w:p>
    <w:p>
      <w:pPr>
        <w:spacing w:after="60"/>
        <w:jc w:val="both"/>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rPr>
        <w:t>2</w:t>
      </w:r>
      <w:r>
        <w:rPr>
          <w:b/>
          <w:bCs/>
          <w:i/>
          <w:iCs/>
          <w:sz w:val="20"/>
          <w:szCs w:val="20"/>
        </w:rPr>
        <w:t xml:space="preserve">: </w:t>
      </w:r>
      <w:r>
        <w:rPr>
          <w:rFonts w:hint="eastAsia"/>
          <w:b/>
          <w:bCs/>
          <w:i/>
          <w:iCs/>
          <w:sz w:val="20"/>
          <w:szCs w:val="20"/>
        </w:rPr>
        <w:t xml:space="preserve">The UE measurement behavior for NTN-to-TN should be defined. </w:t>
      </w:r>
      <w:r>
        <w:rPr>
          <w:rFonts w:hint="eastAsia" w:eastAsia="Times New Roman"/>
          <w:b/>
          <w:bCs/>
          <w:i/>
          <w:iCs/>
          <w:sz w:val="20"/>
          <w:szCs w:val="20"/>
        </w:rPr>
        <w:t>An RRC_IDLE/RRC_INACTIVE UE is not required to perform neighbour cell measurements for cell re-selection for a TN frequency in the area, if configured, where there is no coverage of that frequency based on the provide TN cell coverage information and UE GNSS position information, regardless of the frequency priority.</w:t>
      </w:r>
    </w:p>
    <w:p>
      <w:pPr>
        <w:jc w:val="both"/>
        <w:rPr>
          <w:b/>
          <w:bCs/>
          <w:i/>
          <w:iCs/>
          <w:sz w:val="20"/>
          <w:szCs w:val="20"/>
        </w:rPr>
      </w:pPr>
      <w:r>
        <w:rPr>
          <w:b/>
          <w:bCs/>
          <w:i/>
          <w:iCs/>
          <w:sz w:val="20"/>
          <w:szCs w:val="20"/>
        </w:rPr>
        <w:t xml:space="preserve">Proposal </w:t>
      </w:r>
      <w:r>
        <w:rPr>
          <w:rFonts w:hint="eastAsia"/>
          <w:b/>
          <w:bCs/>
          <w:i/>
          <w:iCs/>
          <w:sz w:val="20"/>
          <w:szCs w:val="20"/>
        </w:rPr>
        <w:t>3</w:t>
      </w:r>
      <w:r>
        <w:rPr>
          <w:b/>
          <w:bCs/>
          <w:i/>
          <w:iCs/>
          <w:sz w:val="20"/>
          <w:szCs w:val="20"/>
        </w:rPr>
        <w:t xml:space="preserve">: </w:t>
      </w:r>
      <w:r>
        <w:rPr>
          <w:rFonts w:hint="eastAsia"/>
          <w:b/>
          <w:bCs/>
          <w:i/>
          <w:iCs/>
          <w:sz w:val="20"/>
          <w:szCs w:val="20"/>
        </w:rPr>
        <w:t xml:space="preserve">Revise the definition of </w:t>
      </w:r>
      <w:r>
        <w:rPr>
          <w:b/>
          <w:bCs/>
          <w:i/>
          <w:iCs/>
          <w:sz w:val="20"/>
          <w:szCs w:val="20"/>
          <w:lang w:val="en-GB"/>
        </w:rPr>
        <w:t>K</w:t>
      </w:r>
      <w:r>
        <w:rPr>
          <w:b/>
          <w:bCs/>
          <w:i/>
          <w:iCs/>
          <w:sz w:val="20"/>
          <w:szCs w:val="20"/>
          <w:vertAlign w:val="subscript"/>
          <w:lang w:val="en-GB"/>
        </w:rPr>
        <w:t>carrier</w:t>
      </w:r>
      <w:r>
        <w:rPr>
          <w:b/>
          <w:bCs/>
          <w:i/>
          <w:iCs/>
          <w:sz w:val="20"/>
          <w:szCs w:val="20"/>
          <w:lang w:val="en-GB"/>
        </w:rPr>
        <w:t xml:space="preserve"> </w:t>
      </w:r>
      <w:r>
        <w:rPr>
          <w:rFonts w:hint="eastAsia"/>
          <w:b/>
          <w:bCs/>
          <w:i/>
          <w:iCs/>
          <w:sz w:val="20"/>
          <w:szCs w:val="20"/>
        </w:rPr>
        <w:t>to the number of NR inter-frequency carriers indicated by the serving cell, except for the TN only frequency carrier where there is no coverage of that frequency based on the provide TN cell coverage information and UE GNSS position information.</w:t>
      </w:r>
    </w:p>
    <w:p>
      <w:pPr>
        <w:jc w:val="both"/>
        <w:rPr>
          <w:b/>
          <w:bCs/>
          <w:i/>
          <w:iCs/>
          <w:sz w:val="20"/>
          <w:szCs w:val="20"/>
        </w:rPr>
      </w:pPr>
      <w:r>
        <w:rPr>
          <w:rFonts w:hint="eastAsia"/>
          <w:b/>
          <w:bCs/>
          <w:i/>
          <w:iCs/>
          <w:sz w:val="20"/>
          <w:szCs w:val="20"/>
        </w:rPr>
        <w:t>Observation1</w:t>
      </w:r>
      <w:r>
        <w:rPr>
          <w:b/>
          <w:bCs/>
          <w:i/>
          <w:iCs/>
          <w:sz w:val="20"/>
          <w:szCs w:val="20"/>
        </w:rPr>
        <w:t xml:space="preserve">: </w:t>
      </w:r>
      <w:r>
        <w:rPr>
          <w:rFonts w:hint="eastAsia"/>
          <w:b/>
          <w:bCs/>
          <w:i/>
          <w:iCs/>
          <w:sz w:val="20"/>
          <w:szCs w:val="20"/>
        </w:rPr>
        <w:t xml:space="preserve">There is no urgent necessity of differentiate the TN frequency layer and NTN frequency layer among higher layers. </w:t>
      </w:r>
    </w:p>
    <w:p>
      <w:pPr>
        <w:jc w:val="both"/>
        <w:rPr>
          <w:b/>
          <w:bCs/>
          <w:i/>
          <w:iCs/>
          <w:sz w:val="20"/>
          <w:szCs w:val="20"/>
        </w:rPr>
      </w:pPr>
      <w:r>
        <w:rPr>
          <w:rFonts w:hint="eastAsia"/>
          <w:b/>
          <w:bCs/>
          <w:i/>
          <w:iCs/>
          <w:sz w:val="20"/>
          <w:szCs w:val="20"/>
        </w:rPr>
        <w:t>Proposal 4: No need to consider shorter T</w:t>
      </w:r>
      <w:r>
        <w:rPr>
          <w:rFonts w:hint="eastAsia"/>
          <w:b/>
          <w:bCs/>
          <w:i/>
          <w:iCs/>
          <w:sz w:val="20"/>
          <w:szCs w:val="20"/>
          <w:vertAlign w:val="subscript"/>
        </w:rPr>
        <w:t>higher_priority_search</w:t>
      </w:r>
      <w:r>
        <w:rPr>
          <w:rFonts w:hint="eastAsia"/>
          <w:b/>
          <w:bCs/>
          <w:i/>
          <w:iCs/>
          <w:sz w:val="20"/>
          <w:szCs w:val="20"/>
        </w:rPr>
        <w:t xml:space="preserve"> for TN frequency layer with higher priority comparing to NTN frequency layer with higher priority.</w:t>
      </w:r>
    </w:p>
    <w:p>
      <w:pPr>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rPr>
        <w:t>For time-based cell re-selection in earth moving cell NTN deployments, the existing time-based cell re-selection and cell selection mechanism could be reused.</w:t>
      </w:r>
    </w:p>
    <w:p>
      <w:pPr>
        <w:jc w:val="both"/>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6</w:t>
      </w:r>
      <w:r>
        <w:rPr>
          <w:rFonts w:eastAsia="等线"/>
          <w:b/>
          <w:bCs/>
          <w:i/>
          <w:iCs/>
          <w:sz w:val="20"/>
          <w:szCs w:val="20"/>
        </w:rPr>
        <w:t xml:space="preserve">: </w:t>
      </w:r>
      <w:r>
        <w:rPr>
          <w:rFonts w:hint="eastAsia" w:eastAsia="等线"/>
          <w:b/>
          <w:bCs/>
          <w:i/>
          <w:iCs/>
          <w:sz w:val="20"/>
          <w:szCs w:val="20"/>
        </w:rPr>
        <w:t>In earth-moving cell deployment, the cell re-selection detection/evaluation/measurement requirements enhancement is necessary.</w:t>
      </w:r>
    </w:p>
    <w:p>
      <w:pPr>
        <w:spacing w:after="60"/>
        <w:jc w:val="both"/>
        <w:rPr>
          <w:sz w:val="20"/>
          <w:szCs w:val="20"/>
        </w:rPr>
      </w:pPr>
      <w:r>
        <w:rPr>
          <w:rFonts w:hint="eastAsia" w:eastAsia="等线"/>
          <w:b/>
          <w:bCs/>
          <w:i/>
          <w:iCs/>
          <w:sz w:val="20"/>
          <w:szCs w:val="20"/>
        </w:rPr>
        <w:t>P</w:t>
      </w:r>
      <w:r>
        <w:rPr>
          <w:rFonts w:eastAsia="等线"/>
          <w:b/>
          <w:bCs/>
          <w:i/>
          <w:iCs/>
          <w:sz w:val="20"/>
          <w:szCs w:val="20"/>
        </w:rPr>
        <w:t>roposa</w:t>
      </w:r>
      <w:r>
        <w:rPr>
          <w:rFonts w:hint="eastAsia" w:eastAsia="等线"/>
          <w:b/>
          <w:bCs/>
          <w:i/>
          <w:iCs/>
          <w:sz w:val="20"/>
          <w:szCs w:val="20"/>
        </w:rPr>
        <w:t xml:space="preserve">l </w:t>
      </w:r>
      <w:r>
        <w:rPr>
          <w:rFonts w:hint="eastAsia" w:eastAsia="等线"/>
          <w:b/>
          <w:bCs/>
          <w:i/>
          <w:iCs/>
          <w:sz w:val="20"/>
          <w:szCs w:val="20"/>
          <w:lang w:val="en-US" w:eastAsia="zh-CN"/>
        </w:rPr>
        <w:t>7</w:t>
      </w:r>
      <w:r>
        <w:rPr>
          <w:rFonts w:hint="eastAsia" w:eastAsia="等线"/>
          <w:b/>
          <w:bCs/>
          <w:i/>
          <w:iCs/>
          <w:sz w:val="20"/>
          <w:szCs w:val="20"/>
        </w:rPr>
        <w:t>: For the definition of the serving cell reference location of earth-moving deployment, wait more progress of RAN2. If RAN2 give the corresponding definition or description in TS 38.331, then no need to add additional clarification in RAN4 spec.</w:t>
      </w:r>
    </w:p>
    <w:p>
      <w:pPr>
        <w:rPr>
          <w:rFonts w:eastAsia="等线"/>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8</w:t>
      </w:r>
      <w:r>
        <w:rPr>
          <w:rFonts w:eastAsia="等线"/>
          <w:b/>
          <w:bCs/>
          <w:i/>
          <w:iCs/>
          <w:sz w:val="20"/>
          <w:szCs w:val="20"/>
        </w:rPr>
        <w:t xml:space="preserve">: </w:t>
      </w:r>
      <w:r>
        <w:rPr>
          <w:rFonts w:hint="eastAsia" w:eastAsia="等线"/>
          <w:b/>
          <w:bCs/>
          <w:i/>
          <w:iCs/>
          <w:sz w:val="20"/>
          <w:szCs w:val="20"/>
        </w:rPr>
        <w:t>The location margin for evaluating the distance threshold can be extended by 20 meters.</w:t>
      </w:r>
    </w:p>
    <w:p>
      <w:pPr>
        <w:jc w:val="both"/>
        <w:rPr>
          <w:rFonts w:eastAsia="宋体"/>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9</w:t>
      </w:r>
      <w:r>
        <w:rPr>
          <w:rFonts w:eastAsia="等线"/>
          <w:b/>
          <w:bCs/>
          <w:i/>
          <w:iCs/>
          <w:sz w:val="20"/>
          <w:szCs w:val="20"/>
        </w:rPr>
        <w:t xml:space="preserve">: </w:t>
      </w:r>
      <w:r>
        <w:rPr>
          <w:rFonts w:hint="eastAsia" w:eastAsia="等线"/>
          <w:b/>
          <w:bCs/>
          <w:i/>
          <w:iCs/>
          <w:sz w:val="20"/>
          <w:szCs w:val="20"/>
        </w:rPr>
        <w:t>C</w:t>
      </w:r>
      <w:r>
        <w:rPr>
          <w:rFonts w:hint="eastAsia"/>
          <w:b/>
          <w:bCs/>
          <w:i/>
          <w:iCs/>
          <w:sz w:val="20"/>
          <w:szCs w:val="20"/>
        </w:rPr>
        <w:t xml:space="preserve">onsider shorter </w:t>
      </w:r>
      <w:r>
        <w:rPr>
          <w:rFonts w:eastAsia="Malgun Gothic"/>
          <w:b/>
          <w:bCs/>
          <w:i/>
          <w:iCs/>
          <w:sz w:val="20"/>
          <w:szCs w:val="20"/>
          <w:lang w:eastAsia="ko-KR"/>
        </w:rPr>
        <w:t>T</w:t>
      </w:r>
      <w:r>
        <w:rPr>
          <w:rFonts w:eastAsia="Malgun Gothic"/>
          <w:b/>
          <w:bCs/>
          <w:i/>
          <w:iCs/>
          <w:sz w:val="20"/>
          <w:szCs w:val="20"/>
          <w:vertAlign w:val="subscript"/>
          <w:lang w:eastAsia="ko-KR"/>
        </w:rPr>
        <w:t>higher_priority_search</w:t>
      </w:r>
      <w:r>
        <w:rPr>
          <w:rFonts w:eastAsia="Malgun Gothic"/>
          <w:b/>
          <w:bCs/>
          <w:i/>
          <w:iCs/>
          <w:sz w:val="20"/>
          <w:szCs w:val="20"/>
          <w:lang w:eastAsia="ko-KR"/>
        </w:rPr>
        <w:t xml:space="preserve"> for frequency layer with higher priority</w:t>
      </w:r>
      <w:r>
        <w:rPr>
          <w:rFonts w:hint="eastAsia" w:eastAsia="宋体"/>
          <w:b/>
          <w:bCs/>
          <w:i/>
          <w:iCs/>
          <w:sz w:val="20"/>
          <w:szCs w:val="20"/>
        </w:rPr>
        <w:t>, the specific value need to be FFS.</w:t>
      </w:r>
    </w:p>
    <w:p>
      <w:pPr>
        <w:jc w:val="both"/>
        <w:rPr>
          <w:rFonts w:eastAsia="宋体"/>
          <w:b/>
          <w:bCs/>
          <w:i/>
          <w:iCs/>
          <w:sz w:val="20"/>
          <w:szCs w:val="20"/>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10</w:t>
      </w:r>
      <w:r>
        <w:rPr>
          <w:rFonts w:eastAsia="等线"/>
          <w:b/>
          <w:bCs/>
          <w:i/>
          <w:iCs/>
          <w:sz w:val="20"/>
          <w:szCs w:val="20"/>
        </w:rPr>
        <w:t xml:space="preserve">: </w:t>
      </w:r>
      <w:r>
        <w:rPr>
          <w:rFonts w:hint="eastAsia" w:eastAsia="等线"/>
          <w:b/>
          <w:bCs/>
          <w:i/>
          <w:iCs/>
          <w:sz w:val="20"/>
          <w:szCs w:val="20"/>
        </w:rPr>
        <w:t>It is up to UE implementation of how to autonomously adjust the SMTC in the time domain and which cell(s)/satellite to measure.</w:t>
      </w:r>
    </w:p>
    <w:p>
      <w:pPr>
        <w:spacing w:before="60" w:after="60"/>
        <w:jc w:val="both"/>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11</w:t>
      </w:r>
      <w:r>
        <w:rPr>
          <w:b/>
          <w:bCs/>
          <w:i/>
          <w:iCs/>
          <w:sz w:val="20"/>
          <w:szCs w:val="20"/>
        </w:rPr>
        <w:t xml:space="preserve">: For RACH-less HO, </w:t>
      </w:r>
      <w:r>
        <w:rPr>
          <w:rFonts w:hint="eastAsia"/>
          <w:b/>
          <w:bCs/>
          <w:i/>
          <w:iCs/>
          <w:sz w:val="20"/>
          <w:szCs w:val="20"/>
        </w:rPr>
        <w:t>T</w:t>
      </w:r>
      <w:r>
        <w:rPr>
          <w:rFonts w:hint="eastAsia"/>
          <w:b/>
          <w:bCs/>
          <w:i/>
          <w:iCs/>
          <w:sz w:val="20"/>
          <w:szCs w:val="20"/>
          <w:vertAlign w:val="subscript"/>
        </w:rPr>
        <w:t>IU</w:t>
      </w:r>
      <w:r>
        <w:rPr>
          <w:rFonts w:hint="eastAsia"/>
          <w:b/>
          <w:bCs/>
          <w:i/>
          <w:iCs/>
          <w:sz w:val="20"/>
          <w:szCs w:val="20"/>
        </w:rPr>
        <w:t xml:space="preserve"> is the interruption uncertainty in acquiring the first UL transmission resource which can be a configured grant based PUSCH and a dynamic grant based PUSCH.</w:t>
      </w:r>
    </w:p>
    <w:p>
      <w:pPr>
        <w:spacing w:before="60" w:after="60"/>
        <w:rPr>
          <w:b/>
          <w:bCs/>
          <w:i/>
          <w:iCs/>
          <w:sz w:val="20"/>
          <w:szCs w:val="20"/>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12</w:t>
      </w:r>
      <w:r>
        <w:rPr>
          <w:b/>
          <w:bCs/>
          <w:i/>
          <w:iCs/>
          <w:sz w:val="20"/>
          <w:szCs w:val="20"/>
        </w:rPr>
        <w:t xml:space="preserve">: </w:t>
      </w:r>
      <w:r>
        <w:rPr>
          <w:rFonts w:hint="eastAsia"/>
          <w:b/>
          <w:bCs/>
          <w:i/>
          <w:iCs/>
          <w:sz w:val="20"/>
          <w:szCs w:val="20"/>
        </w:rPr>
        <w:t>In zero or negligible coverage gap scenario, t</w:t>
      </w:r>
      <w:r>
        <w:rPr>
          <w:b/>
          <w:bCs/>
          <w:i/>
          <w:iCs/>
          <w:sz w:val="20"/>
          <w:szCs w:val="20"/>
        </w:rPr>
        <w:t xml:space="preserve">he satellite switching delay requirement </w:t>
      </w:r>
      <w:r>
        <w:rPr>
          <w:rFonts w:hint="eastAsia"/>
          <w:b/>
          <w:bCs/>
          <w:i/>
          <w:iCs/>
          <w:sz w:val="20"/>
          <w:szCs w:val="20"/>
        </w:rPr>
        <w:t>is as follows:</w:t>
      </w:r>
    </w:p>
    <w:p>
      <w:pPr>
        <w:pStyle w:val="75"/>
        <w:numPr>
          <w:ilvl w:val="0"/>
          <w:numId w:val="8"/>
        </w:numPr>
        <w:ind w:firstLineChars="0"/>
        <w:rPr>
          <w:b/>
          <w:bCs/>
          <w:i/>
          <w:iCs/>
          <w:sz w:val="20"/>
          <w:szCs w:val="20"/>
          <w:lang w:val="en-GB"/>
        </w:rPr>
      </w:pPr>
      <w:r>
        <w:rPr>
          <w:rFonts w:hint="eastAsia" w:eastAsia="宋体"/>
          <w:b/>
          <w:bCs/>
          <w:i/>
          <w:iCs/>
          <w:sz w:val="20"/>
          <w:szCs w:val="20"/>
        </w:rPr>
        <w:t xml:space="preserve">If RACH-based solution applies, then </w:t>
      </w:r>
      <w:r>
        <w:rPr>
          <w:rFonts w:hint="eastAsia"/>
          <w:b/>
          <w:bCs/>
          <w:i/>
          <w:iCs/>
          <w:sz w:val="20"/>
          <w:szCs w:val="20"/>
        </w:rPr>
        <w:t>t</w:t>
      </w:r>
      <w:r>
        <w:rPr>
          <w:b/>
          <w:bCs/>
          <w:i/>
          <w:iCs/>
          <w:sz w:val="20"/>
          <w:szCs w:val="20"/>
        </w:rPr>
        <w:t>he satellite switching delay requirement</w:t>
      </w:r>
      <w:r>
        <w:rPr>
          <w:rFonts w:hint="eastAsia" w:eastAsia="宋体"/>
          <w:b/>
          <w:bCs/>
          <w:i/>
          <w:iCs/>
          <w:sz w:val="20"/>
          <w:szCs w:val="20"/>
        </w:rPr>
        <w:t xml:space="preserve"> covers:</w:t>
      </w:r>
    </w:p>
    <w:p>
      <w:pPr>
        <w:pStyle w:val="75"/>
        <w:numPr>
          <w:ilvl w:val="1"/>
          <w:numId w:val="8"/>
        </w:numPr>
        <w:ind w:firstLineChars="0"/>
        <w:rPr>
          <w:b/>
          <w:bCs/>
          <w:i/>
          <w:iCs/>
          <w:sz w:val="20"/>
          <w:szCs w:val="20"/>
          <w:lang w:val="en-GB"/>
        </w:rPr>
      </w:pPr>
      <w:r>
        <w:rPr>
          <w:b/>
          <w:bCs/>
          <w:i/>
          <w:iCs/>
          <w:sz w:val="20"/>
          <w:szCs w:val="20"/>
          <w:lang w:val="en-GB"/>
        </w:rPr>
        <w:t>T</w:t>
      </w:r>
      <w:r>
        <w:rPr>
          <w:b/>
          <w:bCs/>
          <w:i/>
          <w:iCs/>
          <w:sz w:val="20"/>
          <w:szCs w:val="20"/>
          <w:vertAlign w:val="subscript"/>
          <w:lang w:val="en-GB"/>
        </w:rPr>
        <w:t>SI-NR</w:t>
      </w:r>
      <w:r>
        <w:rPr>
          <w:rFonts w:hint="eastAsia"/>
          <w:b/>
          <w:bCs/>
          <w:i/>
          <w:iCs/>
          <w:sz w:val="20"/>
          <w:szCs w:val="20"/>
          <w:lang w:val="en-GB"/>
        </w:rPr>
        <w:t>:</w:t>
      </w:r>
      <w:r>
        <w:rPr>
          <w:b/>
          <w:bCs/>
          <w:i/>
          <w:iCs/>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pPr>
        <w:pStyle w:val="75"/>
        <w:numPr>
          <w:ilvl w:val="1"/>
          <w:numId w:val="8"/>
        </w:numPr>
        <w:ind w:firstLineChars="0"/>
        <w:rPr>
          <w:b/>
          <w:bCs/>
          <w:i/>
          <w:iCs/>
          <w:sz w:val="20"/>
          <w:szCs w:val="20"/>
          <w:lang w:val="en-GB"/>
        </w:rPr>
      </w:pPr>
      <w:r>
        <w:rPr>
          <w:b/>
          <w:bCs/>
          <w:i/>
          <w:iCs/>
          <w:sz w:val="20"/>
          <w:szCs w:val="20"/>
          <w:lang w:val="en-GB"/>
        </w:rPr>
        <w:t>T</w:t>
      </w:r>
      <w:r>
        <w:rPr>
          <w:b/>
          <w:bCs/>
          <w:i/>
          <w:iCs/>
          <w:sz w:val="20"/>
          <w:szCs w:val="20"/>
          <w:vertAlign w:val="subscript"/>
          <w:lang w:val="en-GB"/>
        </w:rPr>
        <w:t>PRACH</w:t>
      </w:r>
      <w:r>
        <w:rPr>
          <w:rFonts w:hint="eastAsia"/>
          <w:b/>
          <w:bCs/>
          <w:i/>
          <w:iCs/>
          <w:sz w:val="20"/>
          <w:szCs w:val="20"/>
          <w:lang w:val="en-GB"/>
        </w:rPr>
        <w:t>:</w:t>
      </w:r>
      <w:r>
        <w:rPr>
          <w:b/>
          <w:bCs/>
          <w:i/>
          <w:iCs/>
          <w:sz w:val="20"/>
          <w:szCs w:val="20"/>
          <w:lang w:val="en-GB"/>
        </w:rPr>
        <w:t xml:space="preserve"> It is the delay uncertainty in acquiring the first available PRACH occasion in the target cell of target satellite. </w:t>
      </w:r>
    </w:p>
    <w:p>
      <w:pPr>
        <w:pStyle w:val="75"/>
        <w:numPr>
          <w:ilvl w:val="0"/>
          <w:numId w:val="8"/>
        </w:numPr>
        <w:ind w:firstLineChars="0"/>
        <w:rPr>
          <w:b/>
          <w:bCs/>
          <w:i/>
          <w:iCs/>
          <w:sz w:val="20"/>
          <w:szCs w:val="20"/>
          <w:lang w:val="en-GB"/>
        </w:rPr>
      </w:pPr>
      <w:r>
        <w:rPr>
          <w:rFonts w:hint="eastAsia" w:eastAsia="宋体"/>
          <w:b/>
          <w:bCs/>
          <w:i/>
          <w:iCs/>
          <w:sz w:val="20"/>
          <w:szCs w:val="20"/>
        </w:rPr>
        <w:t xml:space="preserve">If RACH-less-based solution applies, then </w:t>
      </w:r>
      <w:r>
        <w:rPr>
          <w:rFonts w:hint="eastAsia"/>
          <w:b/>
          <w:bCs/>
          <w:i/>
          <w:iCs/>
          <w:sz w:val="20"/>
          <w:szCs w:val="20"/>
        </w:rPr>
        <w:t>t</w:t>
      </w:r>
      <w:r>
        <w:rPr>
          <w:b/>
          <w:bCs/>
          <w:i/>
          <w:iCs/>
          <w:sz w:val="20"/>
          <w:szCs w:val="20"/>
        </w:rPr>
        <w:t>he satellite switching delay requirement</w:t>
      </w:r>
      <w:r>
        <w:rPr>
          <w:rFonts w:hint="eastAsia" w:eastAsia="宋体"/>
          <w:b/>
          <w:bCs/>
          <w:i/>
          <w:iCs/>
          <w:sz w:val="20"/>
          <w:szCs w:val="20"/>
        </w:rPr>
        <w:t xml:space="preserve"> covers:</w:t>
      </w:r>
    </w:p>
    <w:p>
      <w:pPr>
        <w:pStyle w:val="75"/>
        <w:numPr>
          <w:ilvl w:val="1"/>
          <w:numId w:val="8"/>
        </w:numPr>
        <w:ind w:firstLineChars="0"/>
        <w:rPr>
          <w:b/>
          <w:bCs/>
          <w:i/>
          <w:iCs/>
          <w:sz w:val="20"/>
          <w:szCs w:val="20"/>
          <w:lang w:val="en-GB"/>
        </w:rPr>
      </w:pPr>
      <w:r>
        <w:rPr>
          <w:b/>
          <w:bCs/>
          <w:i/>
          <w:iCs/>
          <w:sz w:val="20"/>
          <w:szCs w:val="20"/>
          <w:lang w:val="en-GB"/>
        </w:rPr>
        <w:t>T</w:t>
      </w:r>
      <w:r>
        <w:rPr>
          <w:b/>
          <w:bCs/>
          <w:i/>
          <w:iCs/>
          <w:sz w:val="20"/>
          <w:szCs w:val="20"/>
          <w:vertAlign w:val="subscript"/>
          <w:lang w:val="en-GB"/>
        </w:rPr>
        <w:t>SI-NR</w:t>
      </w:r>
      <w:r>
        <w:rPr>
          <w:rFonts w:hint="eastAsia"/>
          <w:b/>
          <w:bCs/>
          <w:i/>
          <w:iCs/>
          <w:sz w:val="20"/>
          <w:szCs w:val="20"/>
          <w:lang w:val="en-GB"/>
        </w:rPr>
        <w:t>:</w:t>
      </w:r>
      <w:r>
        <w:rPr>
          <w:b/>
          <w:bCs/>
          <w:i/>
          <w:iCs/>
          <w:sz w:val="20"/>
          <w:szCs w:val="20"/>
          <w:lang w:val="en-GB"/>
        </w:rPr>
        <w:t xml:space="preserve"> It is the time required for receiving all the relevant system information according to the reception procedure and the RRC procedure delay of system information blocks defined in TS 38.331 [2] for the target cell of target satellite.</w:t>
      </w:r>
    </w:p>
    <w:p>
      <w:pPr>
        <w:pStyle w:val="75"/>
        <w:numPr>
          <w:ilvl w:val="1"/>
          <w:numId w:val="8"/>
        </w:numPr>
        <w:ind w:firstLineChars="0"/>
        <w:rPr>
          <w:b/>
          <w:i/>
          <w:iCs/>
          <w:sz w:val="20"/>
          <w:szCs w:val="20"/>
          <w:u w:val="single"/>
          <w:lang w:eastAsia="ko-KR"/>
        </w:rPr>
      </w:pPr>
      <w:r>
        <w:rPr>
          <w:b/>
          <w:bCs/>
          <w:i/>
          <w:iCs/>
          <w:sz w:val="20"/>
          <w:szCs w:val="20"/>
        </w:rPr>
        <w:t>T</w:t>
      </w:r>
      <w:r>
        <w:rPr>
          <w:b/>
          <w:bCs/>
          <w:i/>
          <w:iCs/>
          <w:sz w:val="20"/>
          <w:szCs w:val="20"/>
          <w:vertAlign w:val="subscript"/>
        </w:rPr>
        <w:t>IU</w:t>
      </w:r>
      <w:r>
        <w:rPr>
          <w:b/>
          <w:bCs/>
          <w:i/>
          <w:iCs/>
          <w:sz w:val="20"/>
          <w:szCs w:val="20"/>
        </w:rPr>
        <w:t>,</w:t>
      </w:r>
      <w:r>
        <w:rPr>
          <w:rFonts w:hint="eastAsia"/>
          <w:b/>
          <w:bCs/>
          <w:i/>
          <w:iCs/>
          <w:sz w:val="20"/>
          <w:szCs w:val="20"/>
        </w:rPr>
        <w:t xml:space="preserve"> It</w:t>
      </w:r>
      <w:r>
        <w:rPr>
          <w:b/>
          <w:bCs/>
          <w:i/>
          <w:iCs/>
          <w:sz w:val="20"/>
          <w:szCs w:val="20"/>
        </w:rPr>
        <w:t xml:space="preserve"> is the interruption uncertainty in acquiring the first UL transmission resource which can be a configured grant based PUSCH or dynamic grant based PUSCH.</w:t>
      </w:r>
    </w:p>
    <w:p>
      <w:pPr>
        <w:jc w:val="both"/>
        <w:rPr>
          <w:rFonts w:hint="eastAsia"/>
          <w:b/>
          <w:bCs/>
          <w:i/>
          <w:iCs/>
          <w:sz w:val="20"/>
          <w:szCs w:val="20"/>
        </w:rPr>
      </w:pPr>
      <w:r>
        <w:rPr>
          <w:rFonts w:hint="eastAsia"/>
          <w:b/>
          <w:bCs/>
          <w:i/>
          <w:iCs/>
          <w:sz w:val="20"/>
          <w:szCs w:val="20"/>
        </w:rPr>
        <w:t xml:space="preserve">Proposal </w:t>
      </w:r>
      <w:r>
        <w:rPr>
          <w:rFonts w:hint="eastAsia"/>
          <w:b/>
          <w:bCs/>
          <w:i/>
          <w:iCs/>
          <w:sz w:val="20"/>
          <w:szCs w:val="20"/>
          <w:lang w:val="en-US" w:eastAsia="zh-CN"/>
        </w:rPr>
        <w:t>13</w:t>
      </w:r>
      <w:r>
        <w:rPr>
          <w:rFonts w:hint="eastAsia"/>
          <w:b/>
          <w:bCs/>
          <w:i/>
          <w:iCs/>
          <w:sz w:val="20"/>
          <w:szCs w:val="20"/>
        </w:rPr>
        <w:t>: The</w:t>
      </w:r>
      <w:r>
        <w:rPr>
          <w:rFonts w:hint="eastAsia"/>
          <w:b/>
          <w:bCs/>
          <w:i/>
          <w:iCs/>
          <w:sz w:val="20"/>
          <w:szCs w:val="20"/>
          <w:lang w:val="en-US" w:eastAsia="zh-CN"/>
        </w:rPr>
        <w:t xml:space="preserve"> </w:t>
      </w:r>
      <w:r>
        <w:rPr>
          <w:rFonts w:hint="eastAsia"/>
          <w:b/>
          <w:bCs/>
          <w:i/>
          <w:iCs/>
          <w:sz w:val="20"/>
          <w:szCs w:val="20"/>
        </w:rPr>
        <w:t xml:space="preserve">CHO requirements </w:t>
      </w:r>
      <w:r>
        <w:rPr>
          <w:rFonts w:hint="eastAsia"/>
          <w:b/>
          <w:bCs/>
          <w:i/>
          <w:iCs/>
          <w:sz w:val="20"/>
          <w:szCs w:val="20"/>
          <w:lang w:val="en-US" w:eastAsia="zh-CN"/>
        </w:rPr>
        <w:t>should be revised</w:t>
      </w:r>
      <w:r>
        <w:rPr>
          <w:rFonts w:hint="eastAsia"/>
          <w:b/>
          <w:bCs/>
          <w:i/>
          <w:iCs/>
          <w:sz w:val="20"/>
          <w:szCs w:val="20"/>
        </w:rPr>
        <w:t xml:space="preserve"> in hard-switch case where gap is assumed to be zero/negligible and the time and location-based trigger conditions are configured independently. </w:t>
      </w:r>
    </w:p>
    <w:p>
      <w:pPr>
        <w:jc w:val="center"/>
        <w:rPr>
          <w:rFonts w:hint="eastAsia"/>
          <w:b/>
          <w:bCs/>
          <w:i/>
          <w:iCs/>
          <w:sz w:val="20"/>
          <w:szCs w:val="20"/>
        </w:rPr>
      </w:pPr>
      <w:r>
        <w:rPr>
          <w:b/>
          <w:bCs/>
          <w:i/>
          <w:iCs/>
          <w:sz w:val="20"/>
          <w:szCs w:val="20"/>
        </w:rPr>
        <w:t>D</w:t>
      </w:r>
      <w:r>
        <w:rPr>
          <w:b/>
          <w:bCs/>
          <w:i/>
          <w:iCs/>
          <w:sz w:val="20"/>
          <w:szCs w:val="20"/>
          <w:vertAlign w:val="subscript"/>
        </w:rPr>
        <w:t>CHO</w:t>
      </w:r>
      <w:r>
        <w:rPr>
          <w:b/>
          <w:bCs/>
          <w:i/>
          <w:iCs/>
          <w:sz w:val="20"/>
          <w:szCs w:val="20"/>
        </w:rPr>
        <w:t xml:space="preserve"> = T</w:t>
      </w:r>
      <w:r>
        <w:rPr>
          <w:b/>
          <w:bCs/>
          <w:i/>
          <w:iCs/>
          <w:sz w:val="20"/>
          <w:szCs w:val="20"/>
          <w:vertAlign w:val="subscript"/>
        </w:rPr>
        <w:t>RRC</w:t>
      </w:r>
      <w:r>
        <w:rPr>
          <w:b/>
          <w:bCs/>
          <w:i/>
          <w:iCs/>
          <w:sz w:val="20"/>
          <w:szCs w:val="20"/>
        </w:rPr>
        <w:t xml:space="preserve"> + T</w:t>
      </w:r>
      <w:r>
        <w:rPr>
          <w:b/>
          <w:bCs/>
          <w:i/>
          <w:iCs/>
          <w:sz w:val="20"/>
          <w:szCs w:val="20"/>
          <w:vertAlign w:val="subscript"/>
        </w:rPr>
        <w:t>Event_DU</w:t>
      </w:r>
      <w:r>
        <w:rPr>
          <w:b/>
          <w:bCs/>
          <w:i/>
          <w:iCs/>
          <w:sz w:val="20"/>
          <w:szCs w:val="20"/>
        </w:rPr>
        <w:t xml:space="preserve"> + T</w:t>
      </w:r>
      <w:r>
        <w:rPr>
          <w:b/>
          <w:bCs/>
          <w:i/>
          <w:iCs/>
          <w:sz w:val="20"/>
          <w:szCs w:val="20"/>
          <w:vertAlign w:val="subscript"/>
        </w:rPr>
        <w:t>interrupt</w:t>
      </w:r>
      <w:r>
        <w:rPr>
          <w:b/>
          <w:bCs/>
          <w:i/>
          <w:iCs/>
          <w:sz w:val="20"/>
          <w:szCs w:val="20"/>
        </w:rPr>
        <w:t xml:space="preserve"> + T</w:t>
      </w:r>
      <w:r>
        <w:rPr>
          <w:b/>
          <w:bCs/>
          <w:i/>
          <w:iCs/>
          <w:sz w:val="20"/>
          <w:szCs w:val="20"/>
          <w:vertAlign w:val="subscript"/>
        </w:rPr>
        <w:t>CHO_execution</w:t>
      </w:r>
    </w:p>
    <w:p>
      <w:pPr>
        <w:rPr>
          <w:rFonts w:cs="v4.2.0"/>
          <w:b/>
          <w:bCs/>
          <w:i/>
          <w:iCs/>
          <w:sz w:val="20"/>
          <w:szCs w:val="20"/>
        </w:rPr>
      </w:pPr>
      <w:r>
        <w:rPr>
          <w:rFonts w:cs="v4.2.0"/>
          <w:b/>
          <w:bCs/>
          <w:i/>
          <w:iCs/>
          <w:sz w:val="20"/>
          <w:szCs w:val="20"/>
        </w:rPr>
        <w:t>Where:</w:t>
      </w:r>
    </w:p>
    <w:p>
      <w:pPr>
        <w:pStyle w:val="50"/>
        <w:rPr>
          <w:b/>
          <w:bCs/>
          <w:i/>
          <w:iCs/>
        </w:rPr>
      </w:pPr>
      <w:r>
        <w:rPr>
          <w:b/>
          <w:bCs/>
          <w:i/>
          <w:iCs/>
          <w:lang w:val="en-US" w:eastAsia="zh-CN"/>
        </w:rPr>
        <w:tab/>
      </w:r>
      <w:r>
        <w:rPr>
          <w:b/>
          <w:bCs/>
          <w:i/>
          <w:iCs/>
          <w:lang w:val="en-US" w:eastAsia="zh-CN"/>
        </w:rPr>
        <w:t>T</w:t>
      </w:r>
      <w:r>
        <w:rPr>
          <w:b/>
          <w:bCs/>
          <w:i/>
          <w:iCs/>
          <w:vertAlign w:val="subscript"/>
          <w:lang w:val="en-US" w:eastAsia="zh-CN"/>
        </w:rPr>
        <w:t>RRC</w:t>
      </w:r>
      <w:r>
        <w:rPr>
          <w:b/>
          <w:bCs/>
          <w:i/>
          <w:iCs/>
        </w:rPr>
        <w:t xml:space="preserve"> is the RRC procedure delay</w:t>
      </w:r>
    </w:p>
    <w:p>
      <w:pPr>
        <w:pStyle w:val="50"/>
        <w:rPr>
          <w:b/>
          <w:bCs/>
          <w:i/>
          <w:iCs/>
          <w:lang w:val="en-US"/>
        </w:rPr>
      </w:pPr>
      <w:r>
        <w:rPr>
          <w:b/>
          <w:bCs/>
          <w:i/>
          <w:iCs/>
        </w:rPr>
        <w:tab/>
      </w:r>
      <w:r>
        <w:rPr>
          <w:b/>
          <w:bCs/>
          <w:i/>
          <w:iCs/>
        </w:rPr>
        <w:t>T</w:t>
      </w:r>
      <w:r>
        <w:rPr>
          <w:b/>
          <w:bCs/>
          <w:i/>
          <w:iCs/>
          <w:vertAlign w:val="subscript"/>
        </w:rPr>
        <w:t>Event_DU</w:t>
      </w:r>
      <w:r>
        <w:rPr>
          <w:b/>
          <w:bCs/>
          <w:i/>
          <w:iCs/>
        </w:rPr>
        <w:t xml:space="preserve"> is the delay uncertainty which is the time from when the UE successfully decodes a conditional handover command until </w:t>
      </w:r>
      <w:r>
        <w:rPr>
          <w:rFonts w:hint="eastAsia" w:eastAsia="宋体"/>
          <w:b/>
          <w:bCs/>
          <w:i/>
          <w:iCs/>
          <w:lang w:val="en-US" w:eastAsia="zh-CN"/>
        </w:rPr>
        <w:t>the time/location</w:t>
      </w:r>
      <w:r>
        <w:rPr>
          <w:b/>
          <w:bCs/>
          <w:i/>
          <w:iCs/>
        </w:rPr>
        <w:t xml:space="preserve"> condition </w:t>
      </w:r>
      <w:r>
        <w:rPr>
          <w:rFonts w:hint="eastAsia" w:eastAsia="宋体"/>
          <w:b/>
          <w:bCs/>
          <w:i/>
          <w:iCs/>
          <w:lang w:val="en-US" w:eastAsia="zh-CN"/>
        </w:rPr>
        <w:t>fulfilled</w:t>
      </w:r>
      <w:r>
        <w:rPr>
          <w:b/>
          <w:bCs/>
          <w:i/>
          <w:iCs/>
        </w:rPr>
        <w:t xml:space="preserve">. </w:t>
      </w:r>
    </w:p>
    <w:p>
      <w:pPr>
        <w:pStyle w:val="50"/>
        <w:rPr>
          <w:b/>
          <w:bCs/>
          <w:i/>
          <w:iCs/>
        </w:rPr>
      </w:pPr>
      <w:r>
        <w:rPr>
          <w:b/>
          <w:bCs/>
          <w:i/>
          <w:iCs/>
        </w:rPr>
        <w:tab/>
      </w:r>
      <w:r>
        <w:rPr>
          <w:b/>
          <w:bCs/>
          <w:i/>
          <w:iCs/>
        </w:rPr>
        <w:t>T</w:t>
      </w:r>
      <w:r>
        <w:rPr>
          <w:b/>
          <w:bCs/>
          <w:i/>
          <w:iCs/>
          <w:vertAlign w:val="subscript"/>
        </w:rPr>
        <w:t>CHO_execution</w:t>
      </w:r>
      <w:r>
        <w:rPr>
          <w:b/>
          <w:bCs/>
          <w:i/>
          <w:iCs/>
        </w:rPr>
        <w:t xml:space="preserve"> is the conditional execution preparation time</w:t>
      </w:r>
    </w:p>
    <w:p>
      <w:pPr>
        <w:pStyle w:val="50"/>
        <w:rPr>
          <w:b/>
          <w:bCs/>
          <w:i/>
          <w:iCs/>
        </w:rPr>
      </w:pPr>
      <w:r>
        <w:rPr>
          <w:b/>
          <w:bCs/>
          <w:i/>
          <w:iCs/>
          <w:lang w:eastAsia="zh-CN"/>
        </w:rPr>
        <w:tab/>
      </w:r>
      <w:r>
        <w:rPr>
          <w:b/>
          <w:bCs/>
          <w:i/>
          <w:iCs/>
          <w:lang w:eastAsia="zh-CN"/>
        </w:rPr>
        <w:t>T</w:t>
      </w:r>
      <w:r>
        <w:rPr>
          <w:b/>
          <w:bCs/>
          <w:i/>
          <w:iCs/>
          <w:vertAlign w:val="subscript"/>
          <w:lang w:eastAsia="zh-CN"/>
        </w:rPr>
        <w:t>interrupt</w:t>
      </w:r>
      <w:r>
        <w:rPr>
          <w:b/>
          <w:bCs/>
          <w:i/>
          <w:iCs/>
        </w:rPr>
        <w:t xml:space="preserve"> is the interruption time</w:t>
      </w:r>
    </w:p>
    <w:p>
      <w:pPr>
        <w:spacing w:before="60"/>
        <w:rPr>
          <w:sz w:val="20"/>
          <w:szCs w:val="20"/>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9"/>
        </w:numPr>
        <w:rPr>
          <w:sz w:val="20"/>
          <w:szCs w:val="20"/>
          <w:lang w:val="en-GB"/>
        </w:rPr>
      </w:pPr>
      <w:r>
        <w:rPr>
          <w:rFonts w:hint="eastAsia"/>
          <w:sz w:val="20"/>
          <w:szCs w:val="20"/>
          <w:lang w:val="en-GB"/>
        </w:rPr>
        <w:t>R4-2314447, WF on R18 NR NTN RRM requirements, Qual</w:t>
      </w:r>
      <w:r>
        <w:rPr>
          <w:sz w:val="20"/>
          <w:szCs w:val="20"/>
          <w:lang w:val="en-GB"/>
        </w:rPr>
        <w:t>comm Incorporated.</w:t>
      </w:r>
    </w:p>
    <w:p>
      <w:pPr>
        <w:numPr>
          <w:ilvl w:val="0"/>
          <w:numId w:val="9"/>
        </w:numPr>
        <w:rPr>
          <w:sz w:val="20"/>
          <w:szCs w:val="20"/>
          <w:lang w:val="en-GB"/>
        </w:rPr>
      </w:pPr>
      <w:r>
        <w:rPr>
          <w:rFonts w:hint="eastAsia"/>
          <w:sz w:val="20"/>
          <w:szCs w:val="20"/>
          <w:lang w:val="en-GB"/>
        </w:rPr>
        <w:t>R2-2308961</w:t>
      </w:r>
      <w:r>
        <w:rPr>
          <w:rFonts w:hint="eastAsia"/>
          <w:sz w:val="20"/>
          <w:szCs w:val="20"/>
        </w:rPr>
        <w:t>, Report from Break-out session on NR-NTN and IoT-NTN, Vice Chairman (ZTE Corporation)</w:t>
      </w: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429BD"/>
    <w:multiLevelType w:val="singleLevel"/>
    <w:tmpl w:val="982429BD"/>
    <w:lvl w:ilvl="0" w:tentative="0">
      <w:start w:val="1"/>
      <w:numFmt w:val="decimal"/>
      <w:suff w:val="space"/>
      <w:lvlText w:val="[%1]"/>
      <w:lvlJc w:val="left"/>
    </w:lvl>
  </w:abstractNum>
  <w:abstractNum w:abstractNumId="1">
    <w:nsid w:val="99BC1190"/>
    <w:multiLevelType w:val="singleLevel"/>
    <w:tmpl w:val="99BC1190"/>
    <w:lvl w:ilvl="0" w:tentative="0">
      <w:start w:val="1"/>
      <w:numFmt w:val="bullet"/>
      <w:lvlText w:val=""/>
      <w:lvlJc w:val="left"/>
      <w:pPr>
        <w:ind w:left="420" w:hanging="420"/>
      </w:pPr>
      <w:rPr>
        <w:rFonts w:hint="default" w:ascii="Wingdings" w:hAnsi="Wingdings"/>
      </w:rPr>
    </w:lvl>
  </w:abstractNum>
  <w:abstractNum w:abstractNumId="2">
    <w:nsid w:val="B528755B"/>
    <w:multiLevelType w:val="singleLevel"/>
    <w:tmpl w:val="B528755B"/>
    <w:lvl w:ilvl="0" w:tentative="0">
      <w:start w:val="1"/>
      <w:numFmt w:val="decimal"/>
      <w:suff w:val="space"/>
      <w:lvlText w:val="%1."/>
      <w:lvlJc w:val="left"/>
    </w:lvl>
  </w:abstractNum>
  <w:abstractNum w:abstractNumId="3">
    <w:nsid w:val="15797435"/>
    <w:multiLevelType w:val="multilevel"/>
    <w:tmpl w:val="15797435"/>
    <w:lvl w:ilvl="0" w:tentative="0">
      <w:start w:val="1"/>
      <w:numFmt w:val="bullet"/>
      <w:lvlText w:val="•"/>
      <w:lvlJc w:val="center"/>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6">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6D505E2B"/>
    <w:multiLevelType w:val="multilevel"/>
    <w:tmpl w:val="6D505E2B"/>
    <w:lvl w:ilvl="0" w:tentative="0">
      <w:start w:val="1"/>
      <w:numFmt w:val="bullet"/>
      <w:lvlText w:val="•"/>
      <w:lvlJc w:val="center"/>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6"/>
  </w:num>
  <w:num w:numId="3">
    <w:abstractNumId w:val="4"/>
  </w:num>
  <w:num w:numId="4">
    <w:abstractNumId w:val="5"/>
  </w:num>
  <w:num w:numId="5">
    <w:abstractNumId w:val="3"/>
  </w:num>
  <w:num w:numId="6">
    <w:abstractNumId w:val="1"/>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32875BA"/>
    <w:rsid w:val="04027B7C"/>
    <w:rsid w:val="04270E0A"/>
    <w:rsid w:val="05E842A2"/>
    <w:rsid w:val="06830D33"/>
    <w:rsid w:val="07B91BA9"/>
    <w:rsid w:val="0B4D1804"/>
    <w:rsid w:val="0BC169A8"/>
    <w:rsid w:val="0BFD3FEE"/>
    <w:rsid w:val="0BFE43A0"/>
    <w:rsid w:val="0C34713B"/>
    <w:rsid w:val="0D11391B"/>
    <w:rsid w:val="0E6C3CB3"/>
    <w:rsid w:val="0EA0635C"/>
    <w:rsid w:val="10FD15E1"/>
    <w:rsid w:val="11410433"/>
    <w:rsid w:val="11502A3C"/>
    <w:rsid w:val="14704788"/>
    <w:rsid w:val="19166C11"/>
    <w:rsid w:val="199268D2"/>
    <w:rsid w:val="1A337C08"/>
    <w:rsid w:val="1B08792E"/>
    <w:rsid w:val="21E6327B"/>
    <w:rsid w:val="23F24A71"/>
    <w:rsid w:val="264F651F"/>
    <w:rsid w:val="26AB5CAA"/>
    <w:rsid w:val="27885E9A"/>
    <w:rsid w:val="27C37418"/>
    <w:rsid w:val="28E63708"/>
    <w:rsid w:val="2903193C"/>
    <w:rsid w:val="293A0182"/>
    <w:rsid w:val="2A1C7136"/>
    <w:rsid w:val="2E177608"/>
    <w:rsid w:val="2E285745"/>
    <w:rsid w:val="2ECD6A4D"/>
    <w:rsid w:val="2F1F43E1"/>
    <w:rsid w:val="311C418B"/>
    <w:rsid w:val="33106379"/>
    <w:rsid w:val="33C33478"/>
    <w:rsid w:val="35CB3800"/>
    <w:rsid w:val="36267311"/>
    <w:rsid w:val="3B1D4D3A"/>
    <w:rsid w:val="3B1E11F2"/>
    <w:rsid w:val="3B3261DC"/>
    <w:rsid w:val="3C1C2A58"/>
    <w:rsid w:val="3C3F629C"/>
    <w:rsid w:val="3D2E150D"/>
    <w:rsid w:val="3D774C98"/>
    <w:rsid w:val="3DD26E51"/>
    <w:rsid w:val="40A203D0"/>
    <w:rsid w:val="428C04CB"/>
    <w:rsid w:val="44D416C8"/>
    <w:rsid w:val="468D0F58"/>
    <w:rsid w:val="48827744"/>
    <w:rsid w:val="499C7F1A"/>
    <w:rsid w:val="4AB334E0"/>
    <w:rsid w:val="4AC54120"/>
    <w:rsid w:val="4AE14CE5"/>
    <w:rsid w:val="4C740FBB"/>
    <w:rsid w:val="4E222F58"/>
    <w:rsid w:val="4E63642D"/>
    <w:rsid w:val="4EEE3525"/>
    <w:rsid w:val="4FBE626D"/>
    <w:rsid w:val="50047D3F"/>
    <w:rsid w:val="50FC4159"/>
    <w:rsid w:val="52387E00"/>
    <w:rsid w:val="52657DC0"/>
    <w:rsid w:val="54141C5F"/>
    <w:rsid w:val="585C7AD6"/>
    <w:rsid w:val="58B90AAC"/>
    <w:rsid w:val="5A3916BC"/>
    <w:rsid w:val="5A5554D1"/>
    <w:rsid w:val="5BE54260"/>
    <w:rsid w:val="60176AA1"/>
    <w:rsid w:val="601C52A9"/>
    <w:rsid w:val="603B3B74"/>
    <w:rsid w:val="629C6F02"/>
    <w:rsid w:val="674E1284"/>
    <w:rsid w:val="690A41ED"/>
    <w:rsid w:val="6B3773F6"/>
    <w:rsid w:val="6E7D749A"/>
    <w:rsid w:val="7191735E"/>
    <w:rsid w:val="74521C25"/>
    <w:rsid w:val="769367A2"/>
    <w:rsid w:val="78DE7EBE"/>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99"/>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0</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cp:lastModifiedBy>
  <dcterms:modified xsi:type="dcterms:W3CDTF">2023-09-26T12:41:27Z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